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89CF3">
      <w:pPr>
        <w:pStyle w:val="5"/>
        <w:rPr>
          <w:rFonts w:ascii="Times New Roman"/>
          <w:sz w:val="20"/>
        </w:rPr>
      </w:pPr>
    </w:p>
    <w:p w14:paraId="07E9CCD4">
      <w:pPr>
        <w:pStyle w:val="5"/>
        <w:spacing w:before="5"/>
        <w:rPr>
          <w:rFonts w:ascii="Times New Roman"/>
          <w:sz w:val="20"/>
        </w:rPr>
      </w:pPr>
    </w:p>
    <w:p w14:paraId="2F639D7C">
      <w:pPr>
        <w:spacing w:line="360" w:lineRule="auto"/>
        <w:jc w:val="center"/>
        <w:rPr>
          <w:rFonts w:asciiTheme="majorEastAsia" w:hAnsiTheme="majorEastAsia" w:eastAsiaTheme="majorEastAsia"/>
          <w:b/>
          <w:sz w:val="36"/>
          <w:szCs w:val="36"/>
          <w:lang w:eastAsia="zh-CN"/>
        </w:rPr>
      </w:pPr>
      <w:r>
        <w:rPr>
          <w:rFonts w:hint="eastAsia" w:asciiTheme="majorEastAsia" w:hAnsiTheme="majorEastAsia" w:eastAsiaTheme="majorEastAsia"/>
          <w:b/>
          <w:sz w:val="36"/>
          <w:szCs w:val="36"/>
          <w:lang w:eastAsia="zh-CN"/>
        </w:rPr>
        <w:t>福建福化古雷石油化工有限公司</w:t>
      </w:r>
    </w:p>
    <w:p w14:paraId="1B9D67EE">
      <w:pPr>
        <w:spacing w:line="360" w:lineRule="auto"/>
        <w:jc w:val="center"/>
        <w:rPr>
          <w:rFonts w:ascii="黑体" w:eastAsia="黑体"/>
          <w:b/>
          <w:sz w:val="44"/>
          <w:szCs w:val="44"/>
          <w:u w:val="single"/>
          <w:lang w:eastAsia="zh-CN"/>
        </w:rPr>
      </w:pPr>
      <w:r>
        <w:rPr>
          <w:rFonts w:hint="eastAsia" w:asciiTheme="majorEastAsia" w:hAnsiTheme="majorEastAsia" w:eastAsiaTheme="majorEastAsia"/>
          <w:b/>
          <w:sz w:val="36"/>
          <w:szCs w:val="36"/>
          <w:u w:val="single"/>
          <w:lang w:eastAsia="zh-CN"/>
        </w:rPr>
        <w:t xml:space="preserve"> </w:t>
      </w:r>
      <w:r>
        <w:rPr>
          <w:rFonts w:hint="eastAsia" w:ascii="黑体" w:eastAsia="黑体"/>
          <w:b/>
          <w:sz w:val="44"/>
          <w:szCs w:val="44"/>
          <w:u w:val="single"/>
          <w:lang w:eastAsia="zh-CN"/>
        </w:rPr>
        <w:t>福建能化集团福化古雷运营中心项目</w:t>
      </w:r>
    </w:p>
    <w:p w14:paraId="00A8CCB0">
      <w:pPr>
        <w:spacing w:line="360" w:lineRule="auto"/>
        <w:jc w:val="center"/>
        <w:rPr>
          <w:rFonts w:ascii="黑体" w:eastAsia="黑体"/>
          <w:b/>
          <w:sz w:val="44"/>
          <w:szCs w:val="44"/>
          <w:u w:val="single"/>
          <w:lang w:eastAsia="zh-CN"/>
        </w:rPr>
      </w:pPr>
      <w:r>
        <w:rPr>
          <w:rFonts w:hint="eastAsia" w:ascii="黑体" w:eastAsia="黑体"/>
          <w:b/>
          <w:sz w:val="44"/>
          <w:szCs w:val="44"/>
          <w:u w:val="single"/>
          <w:lang w:eastAsia="zh-CN"/>
        </w:rPr>
        <w:t xml:space="preserve">一期工程基坑支护工程监测服务 </w:t>
      </w:r>
    </w:p>
    <w:p w14:paraId="66C12A64">
      <w:pPr>
        <w:spacing w:line="360" w:lineRule="auto"/>
        <w:jc w:val="center"/>
        <w:rPr>
          <w:rFonts w:ascii="黑体" w:eastAsia="黑体"/>
          <w:b/>
          <w:sz w:val="44"/>
          <w:szCs w:val="44"/>
          <w:u w:val="single"/>
          <w:lang w:eastAsia="zh-CN"/>
        </w:rPr>
      </w:pPr>
    </w:p>
    <w:p w14:paraId="1B842FD9">
      <w:pPr>
        <w:pStyle w:val="5"/>
        <w:spacing w:before="4"/>
        <w:rPr>
          <w:rFonts w:ascii="微软雅黑"/>
          <w:b/>
          <w:sz w:val="39"/>
          <w:lang w:eastAsia="zh-CN"/>
        </w:rPr>
      </w:pPr>
    </w:p>
    <w:p w14:paraId="392C5DE4">
      <w:pPr>
        <w:ind w:left="169"/>
        <w:jc w:val="center"/>
        <w:rPr>
          <w:rFonts w:ascii="微软雅黑" w:eastAsia="微软雅黑"/>
          <w:b/>
          <w:sz w:val="52"/>
          <w:szCs w:val="52"/>
          <w:lang w:eastAsia="zh-CN"/>
        </w:rPr>
      </w:pPr>
      <w:r>
        <w:rPr>
          <w:rFonts w:hint="eastAsia" w:ascii="微软雅黑" w:eastAsia="微软雅黑"/>
          <w:b/>
          <w:sz w:val="52"/>
          <w:szCs w:val="52"/>
          <w:lang w:eastAsia="zh-CN"/>
        </w:rPr>
        <w:t>比选文件</w:t>
      </w:r>
    </w:p>
    <w:p w14:paraId="761AC74C">
      <w:pPr>
        <w:pStyle w:val="17"/>
        <w:jc w:val="center"/>
        <w:rPr>
          <w:b/>
          <w:bCs/>
          <w:sz w:val="28"/>
          <w:szCs w:val="28"/>
        </w:rPr>
      </w:pPr>
      <w:r>
        <w:rPr>
          <w:rFonts w:hint="eastAsia"/>
          <w:b/>
          <w:bCs/>
          <w:sz w:val="28"/>
          <w:szCs w:val="28"/>
        </w:rPr>
        <w:t>（文件编号：FHGL-PCSQ-202407059）</w:t>
      </w:r>
    </w:p>
    <w:p w14:paraId="7C5C95C8">
      <w:pPr>
        <w:pStyle w:val="17"/>
        <w:jc w:val="center"/>
        <w:rPr>
          <w:sz w:val="28"/>
          <w:szCs w:val="28"/>
        </w:rPr>
      </w:pPr>
    </w:p>
    <w:p w14:paraId="06EB1E82">
      <w:pPr>
        <w:pStyle w:val="5"/>
        <w:rPr>
          <w:rFonts w:ascii="微软雅黑"/>
          <w:b/>
          <w:sz w:val="94"/>
          <w:lang w:eastAsia="zh-CN"/>
        </w:rPr>
      </w:pPr>
    </w:p>
    <w:p w14:paraId="04FE16A8">
      <w:pPr>
        <w:pStyle w:val="5"/>
        <w:spacing w:before="7"/>
        <w:rPr>
          <w:rFonts w:ascii="微软雅黑"/>
          <w:b/>
          <w:sz w:val="74"/>
          <w:lang w:eastAsia="zh-CN"/>
        </w:rPr>
      </w:pPr>
    </w:p>
    <w:p w14:paraId="22B7CBB4">
      <w:pPr>
        <w:spacing w:line="271" w:lineRule="auto"/>
        <w:ind w:right="45"/>
        <w:rPr>
          <w:rFonts w:ascii="微软雅黑" w:eastAsia="微软雅黑"/>
          <w:b/>
          <w:w w:val="95"/>
          <w:sz w:val="32"/>
          <w:lang w:eastAsia="zh-CN"/>
        </w:rPr>
      </w:pPr>
      <w:r>
        <w:rPr>
          <w:rFonts w:hint="eastAsia" w:ascii="微软雅黑" w:eastAsia="微软雅黑"/>
          <w:b/>
          <w:w w:val="95"/>
          <w:sz w:val="32"/>
          <w:lang w:eastAsia="zh-CN"/>
        </w:rPr>
        <w:t xml:space="preserve"> </w:t>
      </w:r>
      <w:r>
        <w:rPr>
          <w:rFonts w:ascii="微软雅黑" w:eastAsia="微软雅黑"/>
          <w:b/>
          <w:w w:val="95"/>
          <w:sz w:val="32"/>
          <w:lang w:eastAsia="zh-CN"/>
        </w:rPr>
        <w:t xml:space="preserve">                  </w:t>
      </w:r>
      <w:r>
        <w:rPr>
          <w:rFonts w:hint="eastAsia" w:ascii="微软雅黑" w:eastAsia="微软雅黑"/>
          <w:b/>
          <w:w w:val="95"/>
          <w:sz w:val="32"/>
          <w:lang w:eastAsia="zh-CN"/>
        </w:rPr>
        <w:t>福建福化古雷石油化工有限公司编制</w:t>
      </w:r>
    </w:p>
    <w:p w14:paraId="000E735D">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二零二四年七月</w:t>
      </w:r>
    </w:p>
    <w:p w14:paraId="56F4BC15">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14:paraId="6AED813E">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14:paraId="348428DA">
      <w:pPr>
        <w:pStyle w:val="5"/>
        <w:rPr>
          <w:rFonts w:ascii="黑体"/>
          <w:sz w:val="20"/>
          <w:lang w:eastAsia="zh-CN"/>
        </w:rPr>
      </w:pPr>
    </w:p>
    <w:p w14:paraId="4D1FFA74">
      <w:pPr>
        <w:pStyle w:val="5"/>
        <w:rPr>
          <w:rFonts w:ascii="黑体"/>
          <w:sz w:val="20"/>
          <w:lang w:eastAsia="zh-CN"/>
        </w:rPr>
      </w:pPr>
    </w:p>
    <w:p w14:paraId="5ED80403">
      <w:pPr>
        <w:pStyle w:val="5"/>
        <w:spacing w:before="9"/>
        <w:rPr>
          <w:rFonts w:ascii="黑体"/>
          <w:lang w:eastAsia="zh-CN"/>
        </w:rPr>
      </w:pPr>
    </w:p>
    <w:p w14:paraId="201ED90F">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14:paraId="5A79D27D">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14:paraId="0E8CEE8A">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14:paraId="4FA7D18A">
      <w:pPr>
        <w:pStyle w:val="5"/>
        <w:spacing w:before="8"/>
        <w:rPr>
          <w:sz w:val="19"/>
          <w:lang w:eastAsia="zh-CN"/>
        </w:rPr>
      </w:pPr>
    </w:p>
    <w:p w14:paraId="741E77D1">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14:paraId="4FE78137">
      <w:pPr>
        <w:pStyle w:val="5"/>
        <w:spacing w:before="10"/>
        <w:rPr>
          <w:sz w:val="35"/>
          <w:lang w:eastAsia="zh-CN"/>
        </w:rPr>
      </w:pPr>
    </w:p>
    <w:p w14:paraId="7F54F138">
      <w:pPr>
        <w:tabs>
          <w:tab w:val="left" w:pos="1260"/>
          <w:tab w:val="left" w:pos="1800"/>
        </w:tabs>
        <w:spacing w:line="360" w:lineRule="auto"/>
        <w:ind w:firstLine="540" w:firstLineChars="225"/>
        <w:rPr>
          <w:color w:val="000000"/>
          <w:sz w:val="24"/>
          <w:szCs w:val="24"/>
          <w:lang w:eastAsia="zh-CN"/>
        </w:rPr>
      </w:pPr>
      <w:r>
        <w:rPr>
          <w:rFonts w:hint="eastAsia"/>
          <w:color w:val="000000"/>
          <w:sz w:val="24"/>
          <w:szCs w:val="24"/>
          <w:lang w:eastAsia="zh-CN"/>
        </w:rPr>
        <w:t>附件一：合同条款</w:t>
      </w:r>
    </w:p>
    <w:p w14:paraId="78B6F42A">
      <w:pPr>
        <w:tabs>
          <w:tab w:val="left" w:pos="1260"/>
          <w:tab w:val="left" w:pos="1800"/>
        </w:tabs>
        <w:spacing w:line="360" w:lineRule="auto"/>
        <w:ind w:firstLine="540" w:firstLineChars="225"/>
        <w:rPr>
          <w:color w:val="000000"/>
          <w:sz w:val="24"/>
          <w:szCs w:val="24"/>
          <w:lang w:eastAsia="zh-CN"/>
        </w:rPr>
      </w:pPr>
      <w:r>
        <w:rPr>
          <w:rFonts w:hint="eastAsia"/>
          <w:color w:val="000000"/>
          <w:sz w:val="24"/>
          <w:szCs w:val="24"/>
          <w:lang w:eastAsia="zh-CN"/>
        </w:rPr>
        <w:t>附件二：</w:t>
      </w:r>
      <w:r>
        <w:rPr>
          <w:color w:val="000000"/>
          <w:sz w:val="24"/>
          <w:szCs w:val="24"/>
          <w:lang w:eastAsia="zh-CN"/>
        </w:rPr>
        <w:t xml:space="preserve"> </w:t>
      </w:r>
      <w:r>
        <w:rPr>
          <w:rFonts w:hint="eastAsia"/>
          <w:color w:val="000000"/>
          <w:sz w:val="24"/>
          <w:szCs w:val="24"/>
          <w:lang w:eastAsia="zh-CN"/>
        </w:rPr>
        <w:t>参选文件格式</w:t>
      </w:r>
    </w:p>
    <w:p w14:paraId="1DC1F528">
      <w:pPr>
        <w:spacing w:line="360" w:lineRule="auto"/>
        <w:ind w:left="360" w:firstLine="480" w:firstLineChars="200"/>
        <w:rPr>
          <w:sz w:val="24"/>
          <w:szCs w:val="24"/>
          <w:lang w:eastAsia="zh-CN"/>
        </w:rPr>
      </w:pPr>
      <w:r>
        <w:rPr>
          <w:rFonts w:hint="eastAsia"/>
          <w:sz w:val="24"/>
          <w:szCs w:val="24"/>
          <w:lang w:eastAsia="zh-CN"/>
        </w:rPr>
        <w:t>附件1：参选单位企业概况</w:t>
      </w:r>
    </w:p>
    <w:p w14:paraId="34E6C9C9">
      <w:pPr>
        <w:spacing w:line="360" w:lineRule="auto"/>
        <w:ind w:left="360" w:firstLine="480" w:firstLineChars="200"/>
        <w:rPr>
          <w:color w:val="000000"/>
          <w:sz w:val="24"/>
          <w:szCs w:val="24"/>
          <w:lang w:eastAsia="zh-CN"/>
        </w:rPr>
      </w:pPr>
      <w:r>
        <w:rPr>
          <w:rFonts w:hint="eastAsia"/>
          <w:color w:val="000000"/>
          <w:sz w:val="24"/>
          <w:szCs w:val="24"/>
          <w:lang w:eastAsia="zh-CN"/>
        </w:rPr>
        <w:t>附件2：参选书</w:t>
      </w:r>
    </w:p>
    <w:p w14:paraId="14D7FE16">
      <w:pPr>
        <w:spacing w:line="360" w:lineRule="auto"/>
        <w:ind w:left="360" w:firstLine="480" w:firstLineChars="200"/>
        <w:rPr>
          <w:sz w:val="24"/>
          <w:szCs w:val="24"/>
          <w:lang w:eastAsia="zh-CN"/>
        </w:rPr>
      </w:pPr>
      <w:r>
        <w:rPr>
          <w:rFonts w:hint="eastAsia"/>
          <w:color w:val="000000"/>
          <w:sz w:val="24"/>
          <w:szCs w:val="24"/>
          <w:lang w:eastAsia="zh-CN"/>
        </w:rPr>
        <w:t>附件3：法定代表人授权委托书</w:t>
      </w:r>
    </w:p>
    <w:p w14:paraId="3D3B5235">
      <w:pPr>
        <w:spacing w:line="360" w:lineRule="auto"/>
        <w:ind w:left="360" w:firstLine="480" w:firstLineChars="200"/>
        <w:rPr>
          <w:color w:val="000000"/>
          <w:sz w:val="24"/>
          <w:szCs w:val="24"/>
          <w:lang w:eastAsia="zh-CN"/>
        </w:rPr>
      </w:pPr>
      <w:r>
        <w:rPr>
          <w:rFonts w:hint="eastAsia"/>
          <w:color w:val="000000"/>
          <w:sz w:val="24"/>
          <w:szCs w:val="24"/>
          <w:lang w:eastAsia="zh-CN"/>
        </w:rPr>
        <w:t>附件4：</w:t>
      </w:r>
      <w:r>
        <w:rPr>
          <w:rFonts w:hint="eastAsia"/>
          <w:sz w:val="24"/>
          <w:szCs w:val="24"/>
          <w:lang w:eastAsia="zh-CN"/>
        </w:rPr>
        <w:t>承诺函</w:t>
      </w:r>
    </w:p>
    <w:p w14:paraId="08862F7D">
      <w:pPr>
        <w:spacing w:line="408" w:lineRule="auto"/>
        <w:ind w:firstLine="840" w:firstLineChars="350"/>
        <w:rPr>
          <w:sz w:val="28"/>
          <w:lang w:eastAsia="zh-CN"/>
        </w:rPr>
        <w:sectPr>
          <w:footerReference r:id="rId3" w:type="default"/>
          <w:pgSz w:w="11910" w:h="16840"/>
          <w:pgMar w:top="1480" w:right="1340" w:bottom="740" w:left="1680" w:header="0" w:footer="551" w:gutter="0"/>
          <w:pgNumType w:start="1"/>
          <w:cols w:space="720" w:num="1"/>
        </w:sectPr>
      </w:pPr>
      <w:r>
        <w:rPr>
          <w:rFonts w:hint="eastAsia"/>
          <w:color w:val="000000"/>
          <w:sz w:val="24"/>
          <w:szCs w:val="24"/>
          <w:lang w:eastAsia="zh-CN"/>
        </w:rPr>
        <w:t>附件5：报价单</w:t>
      </w:r>
    </w:p>
    <w:p w14:paraId="12F20182">
      <w:pPr>
        <w:tabs>
          <w:tab w:val="left" w:pos="1272"/>
        </w:tabs>
        <w:spacing w:line="420" w:lineRule="atLeast"/>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14:paraId="69309969">
      <w:pPr>
        <w:spacing w:line="420" w:lineRule="atLeast"/>
        <w:ind w:firstLine="480" w:firstLineChars="200"/>
        <w:rPr>
          <w:bCs/>
          <w:sz w:val="24"/>
          <w:szCs w:val="24"/>
          <w:lang w:eastAsia="zh-CN"/>
        </w:rPr>
      </w:pPr>
      <w:r>
        <w:rPr>
          <w:rFonts w:hint="eastAsia" w:asciiTheme="majorEastAsia" w:hAnsiTheme="majorEastAsia" w:eastAsiaTheme="majorEastAsia"/>
          <w:sz w:val="24"/>
          <w:szCs w:val="24"/>
          <w:lang w:eastAsia="zh-CN"/>
        </w:rPr>
        <w:t>福建福化古雷石油化工</w:t>
      </w:r>
      <w:r>
        <w:rPr>
          <w:rFonts w:asciiTheme="majorEastAsia" w:hAnsiTheme="majorEastAsia" w:eastAsiaTheme="majorEastAsia"/>
          <w:sz w:val="24"/>
          <w:szCs w:val="24"/>
          <w:lang w:eastAsia="zh-CN"/>
        </w:rPr>
        <w:t>有限公司拟对本公司</w:t>
      </w:r>
      <w:r>
        <w:rPr>
          <w:rFonts w:hint="eastAsia" w:asciiTheme="majorEastAsia" w:hAnsiTheme="majorEastAsia" w:eastAsiaTheme="majorEastAsia"/>
          <w:sz w:val="24"/>
          <w:szCs w:val="24"/>
          <w:lang w:eastAsia="zh-CN"/>
        </w:rPr>
        <w:t>福建能化集团福化古雷</w:t>
      </w:r>
      <w:r>
        <w:rPr>
          <w:rFonts w:hint="eastAsia"/>
          <w:sz w:val="24"/>
          <w:u w:val="single"/>
          <w:lang w:eastAsia="zh-CN"/>
        </w:rPr>
        <w:t>运营中心项目一期工程基坑支护工程监测服务项目</w:t>
      </w:r>
      <w:r>
        <w:rPr>
          <w:rFonts w:hint="eastAsia" w:asciiTheme="majorEastAsia" w:hAnsiTheme="majorEastAsia" w:eastAsiaTheme="majorEastAsia"/>
          <w:sz w:val="24"/>
          <w:szCs w:val="24"/>
          <w:u w:val="single"/>
          <w:lang w:eastAsia="zh-CN"/>
        </w:rPr>
        <w:t>（项目编号：</w:t>
      </w:r>
      <w:r>
        <w:rPr>
          <w:rFonts w:hint="eastAsia"/>
          <w:sz w:val="24"/>
          <w:u w:val="single"/>
          <w:lang w:eastAsia="zh-CN"/>
        </w:rPr>
        <w:t>FHGL-PCSQ-202407059）</w:t>
      </w:r>
      <w:r>
        <w:rPr>
          <w:rFonts w:asciiTheme="majorEastAsia" w:hAnsiTheme="majorEastAsia" w:eastAsiaTheme="majorEastAsia"/>
          <w:sz w:val="24"/>
          <w:szCs w:val="24"/>
          <w:lang w:eastAsia="zh-CN"/>
        </w:rPr>
        <w:t>进行</w:t>
      </w:r>
      <w:r>
        <w:rPr>
          <w:rFonts w:hint="eastAsia" w:asciiTheme="majorEastAsia" w:hAnsiTheme="majorEastAsia" w:eastAsiaTheme="majorEastAsia"/>
          <w:sz w:val="24"/>
          <w:szCs w:val="24"/>
          <w:lang w:eastAsia="zh-CN"/>
        </w:rPr>
        <w:t>国内</w:t>
      </w:r>
      <w:r>
        <w:rPr>
          <w:rFonts w:asciiTheme="majorEastAsia" w:hAnsiTheme="majorEastAsia" w:eastAsiaTheme="majorEastAsia"/>
          <w:sz w:val="24"/>
          <w:szCs w:val="24"/>
          <w:lang w:eastAsia="zh-CN"/>
        </w:rPr>
        <w:t>公开比选。为了“公开、公平、公正、透明”，引导参选人进行正确参选，特制定本规定文件</w:t>
      </w:r>
      <w:r>
        <w:rPr>
          <w:rFonts w:hint="eastAsia" w:asciiTheme="majorEastAsia" w:hAnsiTheme="majorEastAsia" w:eastAsiaTheme="majorEastAsia"/>
          <w:sz w:val="24"/>
          <w:szCs w:val="24"/>
          <w:lang w:eastAsia="zh-CN"/>
        </w:rPr>
        <w:t>，欢迎国内符合条件的供应商积极参选</w:t>
      </w:r>
      <w:r>
        <w:rPr>
          <w:rFonts w:asciiTheme="majorEastAsia" w:hAnsiTheme="majorEastAsia" w:eastAsiaTheme="majorEastAsia"/>
          <w:sz w:val="24"/>
          <w:szCs w:val="24"/>
          <w:lang w:eastAsia="zh-CN"/>
        </w:rPr>
        <w:t>。</w:t>
      </w:r>
    </w:p>
    <w:p w14:paraId="087A5266">
      <w:pPr>
        <w:autoSpaceDE/>
        <w:autoSpaceDN/>
        <w:spacing w:line="420" w:lineRule="atLeast"/>
        <w:ind w:firstLine="440" w:firstLineChars="200"/>
        <w:jc w:val="both"/>
        <w:rPr>
          <w:rFonts w:asciiTheme="majorEastAsia" w:hAnsiTheme="majorEastAsia" w:eastAsiaTheme="majorEastAsia"/>
          <w:b/>
          <w:bCs/>
          <w:sz w:val="24"/>
          <w:szCs w:val="24"/>
          <w:lang w:eastAsia="zh-CN"/>
        </w:rPr>
      </w:pPr>
      <w:r>
        <w:rPr>
          <w:lang w:eastAsia="zh-CN"/>
        </w:rPr>
        <w:t>一、</w:t>
      </w:r>
      <w:r>
        <w:rPr>
          <w:rFonts w:hint="eastAsia" w:asciiTheme="majorEastAsia" w:hAnsiTheme="majorEastAsia" w:eastAsiaTheme="majorEastAsia"/>
          <w:b/>
          <w:bCs/>
          <w:sz w:val="24"/>
          <w:szCs w:val="24"/>
          <w:lang w:eastAsia="zh-CN"/>
        </w:rPr>
        <w:t>项目概况</w:t>
      </w:r>
    </w:p>
    <w:p w14:paraId="57B7D331">
      <w:pPr>
        <w:autoSpaceDE/>
        <w:autoSpaceDN/>
        <w:spacing w:line="420" w:lineRule="atLeast"/>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项目名称：</w:t>
      </w:r>
      <w:r>
        <w:rPr>
          <w:rFonts w:hint="eastAsia" w:asciiTheme="majorEastAsia" w:hAnsiTheme="majorEastAsia" w:eastAsiaTheme="majorEastAsia"/>
          <w:bCs/>
          <w:sz w:val="24"/>
          <w:szCs w:val="24"/>
          <w:u w:val="single"/>
          <w:lang w:eastAsia="zh-CN"/>
        </w:rPr>
        <w:t xml:space="preserve"> </w:t>
      </w:r>
      <w:r>
        <w:rPr>
          <w:rFonts w:hint="eastAsia" w:asciiTheme="majorEastAsia" w:hAnsiTheme="majorEastAsia" w:eastAsiaTheme="majorEastAsia"/>
          <w:sz w:val="24"/>
          <w:szCs w:val="24"/>
          <w:u w:val="single"/>
          <w:lang w:eastAsia="zh-CN"/>
        </w:rPr>
        <w:t>福建能化集团福化古雷</w:t>
      </w:r>
      <w:r>
        <w:rPr>
          <w:rFonts w:hint="eastAsia"/>
          <w:sz w:val="24"/>
          <w:u w:val="single"/>
          <w:lang w:eastAsia="zh-CN"/>
        </w:rPr>
        <w:t>运营中心项目一期工程基坑支护工程监测服务项目</w:t>
      </w:r>
      <w:r>
        <w:rPr>
          <w:rFonts w:hint="eastAsia"/>
          <w:bCs/>
          <w:sz w:val="24"/>
          <w:szCs w:val="24"/>
          <w:u w:val="single"/>
          <w:lang w:eastAsia="zh-CN"/>
        </w:rPr>
        <w:t xml:space="preserve"> </w:t>
      </w:r>
    </w:p>
    <w:p w14:paraId="422DEB39">
      <w:pPr>
        <w:spacing w:line="420" w:lineRule="atLeast"/>
        <w:ind w:firstLine="44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lang w:eastAsia="zh-CN"/>
        </w:rPr>
        <w:t xml:space="preserve">2. </w:t>
      </w:r>
      <w:r>
        <w:rPr>
          <w:rFonts w:hint="eastAsia" w:asciiTheme="majorEastAsia" w:hAnsiTheme="majorEastAsia" w:eastAsiaTheme="majorEastAsia"/>
          <w:bCs/>
          <w:sz w:val="24"/>
          <w:szCs w:val="24"/>
          <w:lang w:eastAsia="zh-CN"/>
        </w:rPr>
        <w:t>项目简要说明：</w:t>
      </w:r>
      <w:r>
        <w:rPr>
          <w:rFonts w:asciiTheme="majorEastAsia" w:hAnsiTheme="majorEastAsia" w:eastAsiaTheme="majorEastAsia"/>
          <w:bCs/>
          <w:sz w:val="24"/>
          <w:szCs w:val="24"/>
          <w:lang w:eastAsia="zh-CN"/>
        </w:rPr>
        <w:t>工程占地面积12349</w:t>
      </w:r>
      <w:r>
        <w:rPr>
          <w:rFonts w:asciiTheme="majorEastAsia" w:hAnsiTheme="majorEastAsia" w:eastAsiaTheme="majorEastAsia"/>
          <w:bCs/>
          <w:sz w:val="24"/>
          <w:szCs w:val="24"/>
          <w:lang w:val="zh-CN" w:eastAsia="zh-CN"/>
        </w:rPr>
        <w:t>㎡，</w:t>
      </w:r>
      <w:r>
        <w:rPr>
          <w:rFonts w:asciiTheme="majorEastAsia" w:hAnsiTheme="majorEastAsia" w:eastAsiaTheme="majorEastAsia"/>
          <w:bCs/>
          <w:sz w:val="24"/>
          <w:szCs w:val="24"/>
          <w:lang w:eastAsia="zh-CN"/>
        </w:rPr>
        <w:t>投资约为3.8亿元，</w:t>
      </w:r>
      <w:r>
        <w:rPr>
          <w:rFonts w:asciiTheme="majorEastAsia" w:hAnsiTheme="majorEastAsia" w:eastAsiaTheme="majorEastAsia"/>
          <w:bCs/>
          <w:sz w:val="24"/>
          <w:szCs w:val="24"/>
          <w:lang w:val="zh-CN" w:eastAsia="zh-CN"/>
        </w:rPr>
        <w:t>建筑面积</w:t>
      </w:r>
      <w:r>
        <w:rPr>
          <w:rFonts w:asciiTheme="majorEastAsia" w:hAnsiTheme="majorEastAsia" w:eastAsiaTheme="majorEastAsia"/>
          <w:bCs/>
          <w:sz w:val="24"/>
          <w:szCs w:val="24"/>
          <w:lang w:eastAsia="zh-CN"/>
        </w:rPr>
        <w:t>48791</w:t>
      </w:r>
      <w:r>
        <w:rPr>
          <w:rFonts w:asciiTheme="majorEastAsia" w:hAnsiTheme="majorEastAsia" w:eastAsiaTheme="majorEastAsia"/>
          <w:bCs/>
          <w:sz w:val="24"/>
          <w:szCs w:val="24"/>
          <w:lang w:val="zh-CN" w:eastAsia="zh-CN"/>
        </w:rPr>
        <w:t>㎡，</w:t>
      </w:r>
      <w:r>
        <w:rPr>
          <w:rFonts w:asciiTheme="majorEastAsia" w:hAnsiTheme="majorEastAsia" w:eastAsiaTheme="majorEastAsia"/>
          <w:bCs/>
          <w:sz w:val="24"/>
          <w:szCs w:val="24"/>
          <w:lang w:eastAsia="zh-CN"/>
        </w:rPr>
        <w:t>建设1#高层建筑物</w:t>
      </w:r>
      <w:r>
        <w:rPr>
          <w:rFonts w:asciiTheme="majorEastAsia" w:hAnsiTheme="majorEastAsia" w:eastAsiaTheme="majorEastAsia"/>
          <w:bCs/>
          <w:sz w:val="24"/>
          <w:szCs w:val="24"/>
          <w:lang w:val="zh-CN" w:eastAsia="zh-CN"/>
        </w:rPr>
        <w:t>（</w:t>
      </w:r>
      <w:r>
        <w:rPr>
          <w:rFonts w:asciiTheme="majorEastAsia" w:hAnsiTheme="majorEastAsia" w:eastAsiaTheme="majorEastAsia"/>
          <w:bCs/>
          <w:sz w:val="24"/>
          <w:szCs w:val="24"/>
          <w:lang w:eastAsia="zh-CN"/>
        </w:rPr>
        <w:t>含运营管理、会议、展厅、档案、应急中心、餐饮等功能）、地下室及配套设施。本工程拟采用桩基础,土0.00 为黄海高程 10.8m,场地整平标高不高于黄海高程8.90m。一层地下室底板垫层底黄海高程为3.90~4.00m,底板厚 400mm，垫层厚 100mm，基坑开挖深度约 4.50~4.90m，基坑底边线长约 369m，面积约 6967m。</w:t>
      </w:r>
    </w:p>
    <w:p w14:paraId="76A5BD2D">
      <w:pPr>
        <w:spacing w:line="420" w:lineRule="atLeast"/>
        <w:ind w:firstLine="480" w:firstLineChars="200"/>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根据本工程的工程地质、水文地质及周边环境等条件，基坑支护方案具体如下:</w:t>
      </w:r>
    </w:p>
    <w:p w14:paraId="4F574E86">
      <w:pPr>
        <w:spacing w:line="420" w:lineRule="atLeast"/>
        <w:ind w:firstLine="480" w:firstLineChars="200"/>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(1)基坑采用钢板桩的支护形式。</w:t>
      </w:r>
    </w:p>
    <w:p w14:paraId="636C492A">
      <w:pPr>
        <w:spacing w:line="420" w:lineRule="atLeast"/>
        <w:ind w:firstLine="480" w:firstLineChars="200"/>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(2)坑中坑采用放坡的支护形式。</w:t>
      </w:r>
    </w:p>
    <w:p w14:paraId="4C3FABF8">
      <w:pPr>
        <w:spacing w:line="420" w:lineRule="atLeast"/>
        <w:ind w:firstLine="480" w:firstLineChars="200"/>
        <w:rPr>
          <w:rFonts w:asciiTheme="majorEastAsia" w:hAnsiTheme="majorEastAsia" w:eastAsiaTheme="majorEastAsia"/>
          <w:sz w:val="24"/>
          <w:szCs w:val="24"/>
          <w:shd w:val="clear" w:color="auto" w:fill="FFFFFF"/>
          <w:lang w:eastAsia="zh-CN"/>
        </w:rPr>
      </w:pPr>
      <w:r>
        <w:rPr>
          <w:rFonts w:asciiTheme="majorEastAsia" w:hAnsiTheme="majorEastAsia" w:eastAsiaTheme="majorEastAsia"/>
          <w:sz w:val="24"/>
          <w:szCs w:val="24"/>
          <w:lang w:eastAsia="zh-CN"/>
        </w:rPr>
        <w:t>结合场地水文地质条件及基坑支护方案，本工程采用疏干井结合集水明排进行降排水。</w:t>
      </w:r>
    </w:p>
    <w:p w14:paraId="41B52F85">
      <w:pPr>
        <w:spacing w:line="420" w:lineRule="atLeast"/>
        <w:rPr>
          <w:sz w:val="24"/>
          <w:szCs w:val="24"/>
          <w:lang w:eastAsia="zh-CN"/>
        </w:rPr>
      </w:pPr>
      <w:r>
        <w:rPr>
          <w:rFonts w:hint="eastAsia"/>
          <w:lang w:eastAsia="zh-CN"/>
        </w:rPr>
        <w:t xml:space="preserve">     </w:t>
      </w:r>
      <w:r>
        <w:rPr>
          <w:rFonts w:hint="eastAsia"/>
          <w:sz w:val="24"/>
          <w:szCs w:val="24"/>
          <w:lang w:eastAsia="zh-CN"/>
        </w:rPr>
        <w:t xml:space="preserve">3. </w:t>
      </w:r>
      <w:r>
        <w:rPr>
          <w:rFonts w:hint="eastAsia"/>
          <w:b/>
          <w:bCs/>
          <w:sz w:val="24"/>
          <w:szCs w:val="24"/>
          <w:lang w:eastAsia="zh-CN"/>
        </w:rPr>
        <w:t>项目控制价格：100000.00元</w:t>
      </w:r>
    </w:p>
    <w:p w14:paraId="5EECE6C5">
      <w:pPr>
        <w:pStyle w:val="3"/>
        <w:spacing w:line="420" w:lineRule="atLeast"/>
        <w:ind w:left="0" w:firstLine="472" w:firstLineChars="196"/>
        <w:rPr>
          <w:lang w:eastAsia="zh-CN"/>
        </w:rPr>
      </w:pPr>
      <w:r>
        <w:rPr>
          <w:rFonts w:hint="eastAsia"/>
          <w:lang w:eastAsia="zh-CN"/>
        </w:rPr>
        <w:t>二、</w:t>
      </w:r>
      <w:r>
        <w:rPr>
          <w:lang w:eastAsia="zh-CN"/>
        </w:rPr>
        <w:t>参选人资格要求：</w:t>
      </w:r>
    </w:p>
    <w:p w14:paraId="415DEB28">
      <w:pPr>
        <w:widowControl/>
        <w:autoSpaceDE/>
        <w:autoSpaceDN/>
        <w:spacing w:line="420" w:lineRule="atLeast"/>
        <w:ind w:firstLine="480" w:firstLineChars="200"/>
        <w:jc w:val="both"/>
        <w:rPr>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r>
        <w:rPr>
          <w:rFonts w:hint="eastAsia"/>
          <w:sz w:val="24"/>
          <w:lang w:eastAsia="zh-CN"/>
        </w:rPr>
        <w:t>能够独立承担民事责任，</w:t>
      </w:r>
      <w:r>
        <w:rPr>
          <w:rFonts w:hint="eastAsia"/>
          <w:sz w:val="24"/>
          <w:szCs w:val="24"/>
          <w:lang w:eastAsia="zh-CN"/>
        </w:rPr>
        <w:t>参选单位须具有甲级及以上监测资质，且资质在有效期内。出具的技术文件符合政府相关部门的要求。；</w:t>
      </w:r>
    </w:p>
    <w:p w14:paraId="4B134455">
      <w:pPr>
        <w:pStyle w:val="19"/>
        <w:widowControl/>
        <w:autoSpaceDE/>
        <w:autoSpaceDN/>
        <w:spacing w:before="0" w:line="420" w:lineRule="atLeast"/>
        <w:ind w:left="0"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hint="eastAsia"/>
          <w:color w:val="000000"/>
          <w:sz w:val="24"/>
          <w:lang w:eastAsia="zh-CN"/>
        </w:rPr>
        <w:t xml:space="preserve"> </w:t>
      </w:r>
      <w:r>
        <w:rPr>
          <w:rFonts w:hint="eastAsia"/>
          <w:sz w:val="24"/>
          <w:lang w:eastAsia="zh-CN"/>
        </w:rPr>
        <w:t>业绩要求：近3年（2021年7月10日至2024年7月10日）至少有同类型（房建）基坑监测服务成功业绩（提供合同复印件证明文件）；</w:t>
      </w:r>
    </w:p>
    <w:p w14:paraId="3D3152D0">
      <w:pPr>
        <w:pStyle w:val="19"/>
        <w:widowControl/>
        <w:autoSpaceDE/>
        <w:autoSpaceDN/>
        <w:spacing w:before="0" w:line="420" w:lineRule="atLeast"/>
        <w:ind w:left="0"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3. </w:t>
      </w:r>
      <w:r>
        <w:rPr>
          <w:rFonts w:asciiTheme="majorEastAsia" w:hAnsiTheme="majorEastAsia" w:eastAsiaTheme="majorEastAsia"/>
          <w:sz w:val="24"/>
          <w:szCs w:val="24"/>
          <w:lang w:eastAsia="zh-CN"/>
        </w:rPr>
        <w:t>没有失信黑名单记录（以最高院失信被执行人系统发布信息为准）；</w:t>
      </w:r>
    </w:p>
    <w:p w14:paraId="2842B88D">
      <w:pPr>
        <w:pStyle w:val="19"/>
        <w:autoSpaceDE/>
        <w:autoSpaceDN/>
        <w:spacing w:before="0" w:line="420" w:lineRule="atLeast"/>
        <w:ind w:left="0"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14:paraId="22AEBB89">
      <w:pPr>
        <w:autoSpaceDE/>
        <w:autoSpaceDN/>
        <w:spacing w:line="420" w:lineRule="atLeast"/>
        <w:ind w:firstLine="480" w:firstLineChars="200"/>
        <w:jc w:val="both"/>
        <w:rPr>
          <w:rFonts w:asciiTheme="majorEastAsia" w:hAnsiTheme="majorEastAsia" w:eastAsiaTheme="majorEastAsia"/>
          <w:b/>
          <w:sz w:val="24"/>
          <w:szCs w:val="24"/>
          <w:lang w:eastAsia="zh-CN"/>
        </w:rPr>
      </w:pPr>
      <w:r>
        <w:rPr>
          <w:rFonts w:hint="eastAsia" w:asciiTheme="majorEastAsia" w:hAnsiTheme="majorEastAsia" w:eastAsiaTheme="majorEastAsia"/>
          <w:bCs/>
          <w:sz w:val="24"/>
          <w:szCs w:val="24"/>
          <w:lang w:eastAsia="zh-CN"/>
        </w:rPr>
        <w:t xml:space="preserve">1. </w:t>
      </w:r>
      <w:bookmarkStart w:id="10" w:name="_GoBack"/>
      <w:bookmarkEnd w:id="10"/>
      <w:r>
        <w:rPr>
          <w:rFonts w:hint="eastAsia" w:asciiTheme="majorEastAsia" w:hAnsiTheme="majorEastAsia" w:eastAsiaTheme="majorEastAsia"/>
          <w:bCs/>
          <w:sz w:val="24"/>
          <w:szCs w:val="24"/>
          <w:lang w:eastAsia="zh-CN"/>
        </w:rPr>
        <w:t>报名时间</w:t>
      </w:r>
      <w:r>
        <w:rPr>
          <w:rFonts w:hint="eastAsia" w:asciiTheme="majorEastAsia" w:hAnsiTheme="majorEastAsia" w:eastAsiaTheme="majorEastAsia"/>
          <w:b/>
          <w:sz w:val="24"/>
          <w:szCs w:val="24"/>
          <w:lang w:eastAsia="zh-CN"/>
        </w:rPr>
        <w:t>：2024年7月</w:t>
      </w:r>
      <w:r>
        <w:rPr>
          <w:rFonts w:asciiTheme="majorEastAsia" w:hAnsiTheme="majorEastAsia" w:eastAsiaTheme="majorEastAsia"/>
          <w:b/>
          <w:sz w:val="24"/>
          <w:szCs w:val="24"/>
          <w:lang w:eastAsia="zh-CN"/>
        </w:rPr>
        <w:t xml:space="preserve"> </w:t>
      </w:r>
      <w:r>
        <w:rPr>
          <w:rFonts w:hint="eastAsia" w:asciiTheme="majorEastAsia" w:hAnsiTheme="majorEastAsia" w:eastAsiaTheme="majorEastAsia"/>
          <w:b/>
          <w:sz w:val="24"/>
          <w:szCs w:val="24"/>
          <w:lang w:eastAsia="zh-CN"/>
        </w:rPr>
        <w:t>1</w:t>
      </w:r>
      <w:r>
        <w:rPr>
          <w:rFonts w:hint="eastAsia" w:asciiTheme="majorEastAsia" w:hAnsiTheme="majorEastAsia" w:eastAsiaTheme="majorEastAsia"/>
          <w:b/>
          <w:sz w:val="24"/>
          <w:szCs w:val="24"/>
          <w:lang w:val="en-US" w:eastAsia="zh-CN"/>
        </w:rPr>
        <w:t>1</w:t>
      </w:r>
      <w:r>
        <w:rPr>
          <w:rFonts w:asciiTheme="majorEastAsia" w:hAnsiTheme="majorEastAsia" w:eastAsiaTheme="majorEastAsia"/>
          <w:b/>
          <w:sz w:val="24"/>
          <w:szCs w:val="24"/>
          <w:lang w:eastAsia="zh-CN"/>
        </w:rPr>
        <w:t xml:space="preserve"> </w:t>
      </w:r>
      <w:r>
        <w:rPr>
          <w:rFonts w:hint="eastAsia" w:asciiTheme="majorEastAsia" w:hAnsiTheme="majorEastAsia" w:eastAsiaTheme="majorEastAsia"/>
          <w:b/>
          <w:sz w:val="24"/>
          <w:szCs w:val="24"/>
          <w:lang w:eastAsia="zh-CN"/>
        </w:rPr>
        <w:t>日至2</w:t>
      </w:r>
      <w:r>
        <w:rPr>
          <w:rFonts w:asciiTheme="majorEastAsia" w:hAnsiTheme="majorEastAsia" w:eastAsiaTheme="majorEastAsia"/>
          <w:b/>
          <w:sz w:val="24"/>
          <w:szCs w:val="24"/>
          <w:lang w:eastAsia="zh-CN"/>
        </w:rPr>
        <w:t>024年</w:t>
      </w:r>
      <w:r>
        <w:rPr>
          <w:rFonts w:hint="eastAsia" w:asciiTheme="majorEastAsia" w:hAnsiTheme="majorEastAsia" w:eastAsiaTheme="majorEastAsia"/>
          <w:b/>
          <w:sz w:val="24"/>
          <w:szCs w:val="24"/>
          <w:lang w:eastAsia="zh-CN"/>
        </w:rPr>
        <w:t xml:space="preserve">7月 </w:t>
      </w:r>
      <w:r>
        <w:rPr>
          <w:rFonts w:hint="eastAsia" w:asciiTheme="majorEastAsia" w:hAnsiTheme="majorEastAsia" w:eastAsiaTheme="majorEastAsia"/>
          <w:b/>
          <w:sz w:val="24"/>
          <w:szCs w:val="24"/>
          <w:lang w:val="en-US" w:eastAsia="zh-CN"/>
        </w:rPr>
        <w:t>19</w:t>
      </w:r>
      <w:r>
        <w:rPr>
          <w:rFonts w:asciiTheme="majorEastAsia" w:hAnsiTheme="majorEastAsia" w:eastAsiaTheme="majorEastAsia"/>
          <w:b/>
          <w:sz w:val="24"/>
          <w:szCs w:val="24"/>
          <w:lang w:eastAsia="zh-CN"/>
        </w:rPr>
        <w:t xml:space="preserve"> </w:t>
      </w:r>
      <w:r>
        <w:rPr>
          <w:rFonts w:hint="eastAsia" w:asciiTheme="majorEastAsia" w:hAnsiTheme="majorEastAsia" w:eastAsiaTheme="majorEastAsia"/>
          <w:b/>
          <w:sz w:val="24"/>
          <w:szCs w:val="24"/>
          <w:lang w:eastAsia="zh-CN"/>
        </w:rPr>
        <w:t>日（共</w:t>
      </w:r>
      <w:r>
        <w:rPr>
          <w:rFonts w:hint="eastAsia" w:asciiTheme="majorEastAsia" w:hAnsiTheme="majorEastAsia" w:eastAsiaTheme="majorEastAsia"/>
          <w:b/>
          <w:sz w:val="24"/>
          <w:szCs w:val="24"/>
          <w:lang w:val="en-US" w:eastAsia="zh-CN"/>
        </w:rPr>
        <w:t>9</w:t>
      </w:r>
      <w:r>
        <w:rPr>
          <w:rFonts w:hint="eastAsia" w:asciiTheme="majorEastAsia" w:hAnsiTheme="majorEastAsia" w:eastAsiaTheme="majorEastAsia"/>
          <w:b/>
          <w:sz w:val="24"/>
          <w:szCs w:val="24"/>
          <w:lang w:eastAsia="zh-CN"/>
        </w:rPr>
        <w:t>天）</w:t>
      </w:r>
    </w:p>
    <w:p w14:paraId="245D4718">
      <w:pPr>
        <w:autoSpaceDE/>
        <w:autoSpaceDN/>
        <w:spacing w:line="420" w:lineRule="atLeast"/>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报名方式：邮件报名（须同时提交盖公章的法定代表人授权书及营业执照扫描件），邮件发至：fhglpd@fjpec.com.cn</w:t>
      </w:r>
      <w:r>
        <w:fldChar w:fldCharType="begin"/>
      </w:r>
      <w:r>
        <w:instrText xml:space="preserve"> HYPERLINK "mailto:hzji@fhcpec.com.cn" </w:instrText>
      </w:r>
      <w:r>
        <w:fldChar w:fldCharType="separate"/>
      </w:r>
      <w:r>
        <w:fldChar w:fldCharType="end"/>
      </w:r>
      <w:r>
        <w:rPr>
          <w:rFonts w:hint="eastAsia" w:asciiTheme="majorEastAsia" w:hAnsiTheme="majorEastAsia" w:eastAsiaTheme="majorEastAsia"/>
          <w:bCs/>
          <w:sz w:val="24"/>
          <w:szCs w:val="24"/>
          <w:lang w:eastAsia="zh-CN"/>
        </w:rPr>
        <w:t>未报名的参选人不能参加本项目比选。</w:t>
      </w:r>
    </w:p>
    <w:p w14:paraId="297D32C5">
      <w:pPr>
        <w:pStyle w:val="2"/>
        <w:spacing w:line="420" w:lineRule="atLeast"/>
        <w:ind w:left="0"/>
        <w:rPr>
          <w:rFonts w:asciiTheme="majorEastAsia" w:hAnsiTheme="majorEastAsia" w:eastAsiaTheme="majorEastAsia"/>
          <w:b w:val="0"/>
          <w:bCs w:val="0"/>
          <w:sz w:val="24"/>
          <w:szCs w:val="24"/>
          <w:lang w:eastAsia="zh-CN"/>
        </w:rPr>
      </w:pPr>
      <w:r>
        <w:rPr>
          <w:rFonts w:hint="eastAsia" w:asciiTheme="majorEastAsia" w:hAnsiTheme="majorEastAsia" w:eastAsiaTheme="majorEastAsia"/>
          <w:w w:val="95"/>
          <w:sz w:val="24"/>
          <w:szCs w:val="24"/>
          <w:lang w:eastAsia="zh-CN"/>
        </w:rPr>
        <w:t>四、</w:t>
      </w:r>
      <w:r>
        <w:rPr>
          <w:rFonts w:hint="eastAsia" w:asciiTheme="majorEastAsia" w:hAnsiTheme="majorEastAsia" w:eastAsiaTheme="majorEastAsia"/>
          <w:sz w:val="24"/>
          <w:szCs w:val="24"/>
          <w:lang w:eastAsia="zh-CN"/>
        </w:rPr>
        <w:t>参选文件递交要求</w:t>
      </w:r>
    </w:p>
    <w:p w14:paraId="43117B3E">
      <w:pPr>
        <w:autoSpaceDE/>
        <w:autoSpaceDN/>
        <w:spacing w:line="420" w:lineRule="atLeast"/>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 参选文件递交地点：</w:t>
      </w:r>
      <w:r>
        <w:rPr>
          <w:rFonts w:hint="eastAsia" w:asciiTheme="majorEastAsia" w:hAnsiTheme="majorEastAsia" w:eastAsiaTheme="majorEastAsia"/>
          <w:sz w:val="24"/>
          <w:szCs w:val="24"/>
          <w:lang w:eastAsia="zh-CN"/>
        </w:rPr>
        <w:t>福建省漳州市漳浦县杜浔镇杜昌路9号</w:t>
      </w:r>
    </w:p>
    <w:p w14:paraId="10B1E4E6">
      <w:pPr>
        <w:autoSpaceDE/>
        <w:autoSpaceDN/>
        <w:spacing w:line="420" w:lineRule="atLeast"/>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w:t>
      </w:r>
      <w:r>
        <w:rPr>
          <w:rFonts w:hint="eastAsia" w:asciiTheme="majorEastAsia" w:hAnsiTheme="majorEastAsia" w:eastAsiaTheme="majorEastAsia"/>
          <w:b/>
          <w:sz w:val="24"/>
          <w:szCs w:val="24"/>
          <w:lang w:eastAsia="zh-CN"/>
        </w:rPr>
        <w:t>报名截止时间延后2个日历天。</w:t>
      </w:r>
    </w:p>
    <w:p w14:paraId="13A70A33">
      <w:pPr>
        <w:autoSpaceDE/>
        <w:autoSpaceDN/>
        <w:spacing w:line="420" w:lineRule="atLeast"/>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五、联系方式</w:t>
      </w:r>
    </w:p>
    <w:p w14:paraId="0A3EF450">
      <w:pPr>
        <w:pStyle w:val="4"/>
        <w:adjustRightInd/>
        <w:spacing w:line="420" w:lineRule="atLeast"/>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商务联系人： 张女士    电话： 19959614706   邮箱：fhglpd@fjpec.com.cn</w:t>
      </w:r>
    </w:p>
    <w:p w14:paraId="2C2F53DE">
      <w:pPr>
        <w:pStyle w:val="4"/>
        <w:snapToGrid w:val="0"/>
        <w:spacing w:line="420" w:lineRule="exact"/>
        <w:ind w:firstLine="480" w:firstLineChars="200"/>
        <w:rPr>
          <w:rFonts w:cs="宋体" w:asciiTheme="majorEastAsia" w:hAnsiTheme="majorEastAsia" w:eastAsiaTheme="majorEastAsia"/>
          <w:szCs w:val="24"/>
        </w:rPr>
      </w:pPr>
      <w:r>
        <w:rPr>
          <w:rFonts w:hint="eastAsia" w:cs="宋体" w:asciiTheme="majorEastAsia" w:hAnsiTheme="majorEastAsia" w:eastAsiaTheme="majorEastAsia"/>
          <w:szCs w:val="24"/>
        </w:rPr>
        <w:t>纪检监察室电话</w:t>
      </w:r>
      <w:r>
        <w:rPr>
          <w:rFonts w:hint="eastAsia" w:cs="宋体" w:asciiTheme="majorEastAsia" w:hAnsiTheme="majorEastAsia" w:eastAsiaTheme="majorEastAsia"/>
          <w:bCs/>
          <w:szCs w:val="24"/>
        </w:rPr>
        <w:t>：0596-6085750</w:t>
      </w:r>
      <w:r>
        <w:rPr>
          <w:rFonts w:hint="eastAsia" w:cs="宋体" w:asciiTheme="majorEastAsia" w:hAnsiTheme="majorEastAsia" w:eastAsiaTheme="majorEastAsia"/>
          <w:szCs w:val="24"/>
        </w:rPr>
        <w:t xml:space="preserve">  </w:t>
      </w:r>
    </w:p>
    <w:p w14:paraId="2EB124F8">
      <w:pPr>
        <w:pStyle w:val="4"/>
        <w:snapToGrid w:val="0"/>
        <w:spacing w:line="420" w:lineRule="exact"/>
        <w:ind w:firstLine="480" w:firstLineChars="200"/>
        <w:rPr>
          <w:rFonts w:cs="宋体" w:asciiTheme="majorEastAsia" w:hAnsiTheme="majorEastAsia" w:eastAsiaTheme="majorEastAsia"/>
          <w:szCs w:val="24"/>
        </w:rPr>
      </w:pPr>
      <w:r>
        <w:rPr>
          <w:rFonts w:hint="eastAsia" w:cs="宋体" w:asciiTheme="majorEastAsia" w:hAnsiTheme="majorEastAsia" w:eastAsiaTheme="majorEastAsia"/>
          <w:szCs w:val="24"/>
        </w:rPr>
        <w:t>联系地址：漳州市漳浦县杜浔镇杜昌路9号</w:t>
      </w:r>
    </w:p>
    <w:p w14:paraId="36AD06B1">
      <w:pPr>
        <w:pStyle w:val="2"/>
        <w:tabs>
          <w:tab w:val="left" w:pos="1262"/>
        </w:tabs>
        <w:spacing w:line="355" w:lineRule="exact"/>
        <w:ind w:left="0" w:right="108"/>
        <w:jc w:val="center"/>
        <w:rPr>
          <w:lang w:eastAsia="zh-CN"/>
        </w:rPr>
        <w:sectPr>
          <w:pgSz w:w="11910" w:h="16840"/>
          <w:pgMar w:top="851" w:right="851" w:bottom="851" w:left="1418" w:header="0" w:footer="550" w:gutter="0"/>
          <w:cols w:space="720" w:num="1"/>
        </w:sectPr>
      </w:pPr>
    </w:p>
    <w:p w14:paraId="3534E079">
      <w:pPr>
        <w:pStyle w:val="2"/>
        <w:tabs>
          <w:tab w:val="left" w:pos="1262"/>
        </w:tabs>
        <w:spacing w:line="360" w:lineRule="auto"/>
        <w:ind w:left="0"/>
        <w:jc w:val="center"/>
        <w:rPr>
          <w:lang w:eastAsia="zh-CN"/>
        </w:rPr>
      </w:pPr>
      <w:r>
        <w:rPr>
          <w:lang w:eastAsia="zh-CN"/>
        </w:rPr>
        <w:t>第二章</w:t>
      </w:r>
      <w:r>
        <w:rPr>
          <w:lang w:eastAsia="zh-CN"/>
        </w:rPr>
        <w:tab/>
      </w:r>
      <w:r>
        <w:rPr>
          <w:spacing w:val="-1"/>
          <w:w w:val="95"/>
          <w:lang w:eastAsia="zh-CN"/>
        </w:rPr>
        <w:t>比选须</w:t>
      </w:r>
      <w:r>
        <w:rPr>
          <w:w w:val="95"/>
          <w:lang w:eastAsia="zh-CN"/>
        </w:rPr>
        <w:t>知</w:t>
      </w:r>
    </w:p>
    <w:p w14:paraId="4894470A">
      <w:pPr>
        <w:spacing w:line="360" w:lineRule="auto"/>
        <w:rPr>
          <w:b/>
          <w:sz w:val="24"/>
          <w:szCs w:val="24"/>
          <w:lang w:eastAsia="zh-CN"/>
        </w:rPr>
      </w:pPr>
      <w:r>
        <w:rPr>
          <w:b/>
          <w:w w:val="95"/>
          <w:sz w:val="24"/>
          <w:szCs w:val="24"/>
          <w:lang w:eastAsia="zh-CN"/>
        </w:rPr>
        <w:t>一、比选内容</w:t>
      </w:r>
    </w:p>
    <w:p w14:paraId="7B76369A">
      <w:pPr>
        <w:pStyle w:val="5"/>
        <w:spacing w:line="360" w:lineRule="auto"/>
        <w:ind w:firstLine="480" w:firstLineChars="200"/>
        <w:rPr>
          <w:lang w:eastAsia="zh-CN"/>
        </w:rPr>
      </w:pPr>
      <w:r>
        <w:rPr>
          <w:lang w:eastAsia="zh-CN"/>
        </w:rPr>
        <w:t>(一)</w:t>
      </w:r>
      <w:r>
        <w:rPr>
          <w:rFonts w:hint="eastAsia"/>
          <w:lang w:eastAsia="zh-CN"/>
        </w:rPr>
        <w:t>服务</w:t>
      </w:r>
      <w:r>
        <w:rPr>
          <w:lang w:eastAsia="zh-CN"/>
        </w:rPr>
        <w:t>名称：</w:t>
      </w:r>
      <w:r>
        <w:rPr>
          <w:rFonts w:hint="eastAsia"/>
          <w:u w:val="single"/>
          <w:lang w:eastAsia="zh-CN"/>
        </w:rPr>
        <w:t xml:space="preserve"> </w:t>
      </w:r>
      <w:r>
        <w:rPr>
          <w:rFonts w:hint="eastAsia" w:asciiTheme="majorEastAsia" w:hAnsiTheme="majorEastAsia" w:eastAsiaTheme="majorEastAsia"/>
          <w:u w:val="single"/>
          <w:lang w:eastAsia="zh-CN"/>
        </w:rPr>
        <w:t>福建能化集团福化古雷</w:t>
      </w:r>
      <w:r>
        <w:rPr>
          <w:rFonts w:hint="eastAsia"/>
          <w:u w:val="single"/>
          <w:lang w:eastAsia="zh-CN"/>
        </w:rPr>
        <w:t xml:space="preserve">运营中心项目一期工程基坑支护工程监测 </w:t>
      </w:r>
      <w:r>
        <w:rPr>
          <w:u w:val="single"/>
          <w:lang w:eastAsia="zh-CN"/>
        </w:rPr>
        <w:t xml:space="preserve"> </w:t>
      </w:r>
    </w:p>
    <w:p w14:paraId="0119A856">
      <w:pPr>
        <w:pStyle w:val="5"/>
        <w:spacing w:line="360" w:lineRule="auto"/>
        <w:ind w:firstLine="480" w:firstLineChars="200"/>
        <w:rPr>
          <w:lang w:eastAsia="zh-CN"/>
        </w:rPr>
      </w:pPr>
      <w:r>
        <w:rPr>
          <w:lang w:eastAsia="zh-CN"/>
        </w:rPr>
        <w:t>(二)</w:t>
      </w:r>
      <w:r>
        <w:rPr>
          <w:rFonts w:hint="eastAsia"/>
          <w:lang w:eastAsia="zh-CN"/>
        </w:rPr>
        <w:t>服务</w:t>
      </w:r>
      <w:r>
        <w:rPr>
          <w:lang w:eastAsia="zh-CN"/>
        </w:rPr>
        <w:t>地点：</w:t>
      </w:r>
      <w:r>
        <w:rPr>
          <w:rFonts w:hint="eastAsia"/>
          <w:lang w:eastAsia="zh-CN"/>
        </w:rPr>
        <w:t>古雷港开发区</w:t>
      </w:r>
    </w:p>
    <w:p w14:paraId="505B9E6B">
      <w:pPr>
        <w:pStyle w:val="5"/>
        <w:spacing w:line="360" w:lineRule="auto"/>
        <w:ind w:firstLine="480" w:firstLineChars="200"/>
        <w:rPr>
          <w:lang w:eastAsia="zh-CN"/>
        </w:rPr>
      </w:pPr>
      <w:r>
        <w:rPr>
          <w:lang w:eastAsia="zh-CN"/>
        </w:rPr>
        <w:t>(三)</w:t>
      </w:r>
      <w:r>
        <w:rPr>
          <w:rFonts w:hint="eastAsia"/>
          <w:lang w:eastAsia="zh-CN"/>
        </w:rPr>
        <w:t>服务方式：总包干方式执行</w:t>
      </w:r>
    </w:p>
    <w:p w14:paraId="65D94B08">
      <w:pPr>
        <w:pStyle w:val="5"/>
        <w:spacing w:line="360" w:lineRule="auto"/>
        <w:ind w:firstLine="480" w:firstLineChars="200"/>
        <w:rPr>
          <w:lang w:eastAsia="zh-CN"/>
        </w:rPr>
      </w:pPr>
      <w:r>
        <w:rPr>
          <w:lang w:eastAsia="zh-CN"/>
        </w:rPr>
        <w:t>(</w:t>
      </w:r>
      <w:r>
        <w:rPr>
          <w:rFonts w:hint="eastAsia"/>
          <w:lang w:eastAsia="zh-CN"/>
        </w:rPr>
        <w:t>四</w:t>
      </w:r>
      <w:r>
        <w:rPr>
          <w:lang w:eastAsia="zh-CN"/>
        </w:rPr>
        <w:t>)比选范围：</w:t>
      </w:r>
    </w:p>
    <w:p w14:paraId="5C20673E">
      <w:pPr>
        <w:spacing w:line="360" w:lineRule="auto"/>
        <w:ind w:firstLine="480" w:firstLineChars="200"/>
        <w:rPr>
          <w:sz w:val="24"/>
          <w:szCs w:val="24"/>
          <w:lang w:eastAsia="zh-CN"/>
        </w:rPr>
      </w:pPr>
      <w:r>
        <w:rPr>
          <w:rFonts w:hint="eastAsia"/>
          <w:sz w:val="24"/>
          <w:szCs w:val="24"/>
          <w:lang w:eastAsia="zh-CN"/>
        </w:rPr>
        <w:t>1.服务范围：</w:t>
      </w:r>
      <w:r>
        <w:rPr>
          <w:rFonts w:hint="eastAsia"/>
          <w:sz w:val="24"/>
          <w:szCs w:val="24"/>
          <w:u w:val="single"/>
          <w:lang w:eastAsia="zh-CN"/>
        </w:rPr>
        <w:t xml:space="preserve"> 福建能化集团福化古雷运营中心项目一期工程 </w:t>
      </w:r>
    </w:p>
    <w:p w14:paraId="6225A098">
      <w:pPr>
        <w:spacing w:line="360" w:lineRule="auto"/>
        <w:ind w:firstLine="480" w:firstLineChars="200"/>
        <w:rPr>
          <w:sz w:val="24"/>
          <w:szCs w:val="24"/>
          <w:lang w:eastAsia="zh-CN"/>
        </w:rPr>
      </w:pPr>
      <w:r>
        <w:rPr>
          <w:rFonts w:hint="eastAsia"/>
          <w:sz w:val="24"/>
          <w:szCs w:val="24"/>
          <w:lang w:eastAsia="zh-CN"/>
        </w:rPr>
        <w:t>2.工作内容：</w:t>
      </w:r>
      <w:r>
        <w:rPr>
          <w:rFonts w:hint="eastAsia"/>
          <w:sz w:val="24"/>
          <w:szCs w:val="24"/>
          <w:u w:val="single"/>
          <w:lang w:eastAsia="zh-CN"/>
        </w:rPr>
        <w:t>福化古雷</w:t>
      </w:r>
      <w:r>
        <w:rPr>
          <w:rFonts w:hint="eastAsia"/>
          <w:sz w:val="24"/>
          <w:u w:val="single"/>
          <w:lang w:eastAsia="zh-CN"/>
        </w:rPr>
        <w:t>运营中心项目一期工程基坑支护工程监测服务</w:t>
      </w:r>
      <w:r>
        <w:rPr>
          <w:rFonts w:hint="eastAsia"/>
          <w:sz w:val="24"/>
          <w:szCs w:val="24"/>
          <w:u w:val="single"/>
          <w:lang w:eastAsia="zh-CN"/>
        </w:rPr>
        <w:t>，见附件 “发包说明”。</w:t>
      </w:r>
    </w:p>
    <w:p w14:paraId="588ED6B6">
      <w:pPr>
        <w:spacing w:line="360" w:lineRule="auto"/>
        <w:ind w:firstLine="480" w:firstLineChars="200"/>
        <w:rPr>
          <w:sz w:val="24"/>
          <w:szCs w:val="24"/>
          <w:lang w:eastAsia="zh-CN"/>
        </w:rPr>
      </w:pPr>
      <w:r>
        <w:rPr>
          <w:rFonts w:hint="eastAsia"/>
          <w:sz w:val="24"/>
          <w:szCs w:val="24"/>
          <w:lang w:eastAsia="zh-CN"/>
        </w:rPr>
        <w:t>(五)服务质量：全优</w:t>
      </w:r>
    </w:p>
    <w:p w14:paraId="7ACFE8BE">
      <w:pPr>
        <w:pStyle w:val="5"/>
        <w:spacing w:line="360" w:lineRule="auto"/>
        <w:ind w:firstLine="360" w:firstLineChars="150"/>
        <w:rPr>
          <w:lang w:eastAsia="zh-CN"/>
        </w:rPr>
      </w:pPr>
      <w:r>
        <w:rPr>
          <w:rFonts w:hint="eastAsia"/>
          <w:lang w:eastAsia="zh-CN"/>
        </w:rPr>
        <w:t>（六）服务要求</w:t>
      </w:r>
      <w:r>
        <w:rPr>
          <w:lang w:eastAsia="zh-CN"/>
        </w:rPr>
        <w:t>：</w:t>
      </w:r>
      <w:r>
        <w:rPr>
          <w:rFonts w:hint="eastAsia"/>
          <w:lang w:eastAsia="zh-CN"/>
        </w:rPr>
        <w:t>按照国家《建筑基坑工程监测技术标准》</w:t>
      </w:r>
      <w:r>
        <w:rPr>
          <w:rFonts w:hint="eastAsia" w:cs="Times New Roman"/>
          <w:lang w:eastAsia="zh-CN"/>
        </w:rPr>
        <w:t>等法</w:t>
      </w:r>
      <w:r>
        <w:rPr>
          <w:rFonts w:hint="eastAsia"/>
          <w:lang w:eastAsia="zh-CN"/>
        </w:rPr>
        <w:t>律、法规和规章，及福建省有关基坑监测法律、法规及技术规定开展基坑监测服务，直到符合要求为止。</w:t>
      </w:r>
    </w:p>
    <w:p w14:paraId="1520BF0E">
      <w:pPr>
        <w:pStyle w:val="2"/>
        <w:spacing w:line="360" w:lineRule="auto"/>
        <w:ind w:left="0"/>
        <w:rPr>
          <w:sz w:val="24"/>
          <w:szCs w:val="24"/>
          <w:lang w:eastAsia="zh-CN"/>
        </w:rPr>
      </w:pPr>
      <w:r>
        <w:rPr>
          <w:w w:val="95"/>
          <w:sz w:val="24"/>
          <w:szCs w:val="24"/>
          <w:lang w:eastAsia="zh-CN"/>
        </w:rPr>
        <w:t>二、定义和解释</w:t>
      </w:r>
    </w:p>
    <w:p w14:paraId="244E43A5">
      <w:pPr>
        <w:pStyle w:val="5"/>
        <w:spacing w:line="360" w:lineRule="auto"/>
        <w:ind w:firstLine="480" w:firstLineChars="200"/>
        <w:rPr>
          <w:lang w:eastAsia="zh-CN"/>
        </w:rPr>
      </w:pPr>
      <w:r>
        <w:rPr>
          <w:lang w:eastAsia="zh-CN"/>
        </w:rPr>
        <w:t>1.“比选人”系</w:t>
      </w:r>
      <w:r>
        <w:rPr>
          <w:rFonts w:hint="eastAsia"/>
          <w:lang w:eastAsia="zh-CN"/>
        </w:rPr>
        <w:t>福建福化古雷石油化工有限公司</w:t>
      </w:r>
      <w:r>
        <w:rPr>
          <w:lang w:eastAsia="zh-CN"/>
        </w:rPr>
        <w:t>，即业主方。</w:t>
      </w:r>
    </w:p>
    <w:p w14:paraId="6985D653">
      <w:pPr>
        <w:pStyle w:val="5"/>
        <w:spacing w:line="360" w:lineRule="auto"/>
        <w:ind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14:paraId="4E7C0FA2">
      <w:pPr>
        <w:pStyle w:val="5"/>
        <w:spacing w:line="360" w:lineRule="auto"/>
        <w:ind w:firstLine="480"/>
        <w:rPr>
          <w:spacing w:val="-10"/>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Pr>
          <w:rFonts w:hint="eastAsia"/>
          <w:spacing w:val="-10"/>
          <w:lang w:eastAsia="zh-CN"/>
        </w:rPr>
        <w:t>三</w:t>
      </w:r>
      <w:r>
        <w:rPr>
          <w:spacing w:val="-10"/>
          <w:lang w:eastAsia="zh-CN"/>
        </w:rPr>
        <w:t>。</w:t>
      </w:r>
    </w:p>
    <w:p w14:paraId="08709FC2">
      <w:pPr>
        <w:pStyle w:val="5"/>
        <w:spacing w:line="360" w:lineRule="auto"/>
        <w:ind w:firstLine="480"/>
        <w:rPr>
          <w:lang w:eastAsia="zh-CN"/>
        </w:rPr>
      </w:pPr>
      <w:r>
        <w:rPr>
          <w:rFonts w:hint="eastAsia"/>
          <w:spacing w:val="-10"/>
          <w:lang w:eastAsia="zh-CN"/>
        </w:rPr>
        <w:t>4.</w:t>
      </w:r>
      <w:r>
        <w:rPr>
          <w:rFonts w:hint="eastAsia"/>
          <w:lang w:eastAsia="zh-CN"/>
        </w:rPr>
        <w:t xml:space="preserve"> “服务”系指比选文件规定参选人为完成全部合同义务须承担的所有工作及其他类似的义务。</w:t>
      </w:r>
    </w:p>
    <w:p w14:paraId="63AD8A26">
      <w:pPr>
        <w:pStyle w:val="2"/>
        <w:spacing w:line="360" w:lineRule="auto"/>
        <w:ind w:left="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14:paraId="1399C83F">
      <w:pPr>
        <w:pStyle w:val="5"/>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14:paraId="0DA3D6B5">
      <w:pPr>
        <w:pStyle w:val="5"/>
        <w:spacing w:line="360" w:lineRule="auto"/>
        <w:ind w:firstLine="360" w:firstLineChars="150"/>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14:paraId="61708B9C">
      <w:pPr>
        <w:pStyle w:val="5"/>
        <w:spacing w:line="360" w:lineRule="auto"/>
        <w:ind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14:paraId="35A8BFCE">
      <w:pPr>
        <w:pStyle w:val="5"/>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14:paraId="25D31D66">
      <w:pPr>
        <w:pStyle w:val="2"/>
        <w:spacing w:line="360" w:lineRule="auto"/>
        <w:ind w:left="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14:paraId="2F1BAA8C">
      <w:pPr>
        <w:pStyle w:val="5"/>
        <w:spacing w:line="360" w:lineRule="auto"/>
        <w:ind w:firstLine="482"/>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14:paraId="536A8431">
      <w:pPr>
        <w:pStyle w:val="2"/>
        <w:spacing w:line="360" w:lineRule="auto"/>
        <w:ind w:left="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14:paraId="385E22A5">
      <w:pPr>
        <w:pStyle w:val="5"/>
        <w:spacing w:line="360" w:lineRule="auto"/>
        <w:ind w:firstLine="480"/>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14:paraId="0E63DB6D">
      <w:pPr>
        <w:pStyle w:val="5"/>
        <w:spacing w:line="360" w:lineRule="auto"/>
        <w:ind w:firstLine="480"/>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14:paraId="27E5A304">
      <w:pPr>
        <w:pStyle w:val="5"/>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14:paraId="2FAB8FB2">
      <w:pPr>
        <w:pStyle w:val="5"/>
        <w:spacing w:line="360" w:lineRule="auto"/>
        <w:ind w:firstLine="480" w:firstLineChars="200"/>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4.比选人所作的一切有效补充、修改文件，均被视为比选文件不可分割部分。</w:t>
      </w:r>
    </w:p>
    <w:p w14:paraId="63B45ED4">
      <w:pPr>
        <w:pStyle w:val="2"/>
        <w:spacing w:line="360" w:lineRule="auto"/>
        <w:ind w:left="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14:paraId="19A6C994">
      <w:pPr>
        <w:widowControl/>
        <w:autoSpaceDE/>
        <w:autoSpaceDN/>
        <w:spacing w:line="420" w:lineRule="atLeast"/>
        <w:ind w:firstLine="480" w:firstLineChars="200"/>
        <w:jc w:val="both"/>
        <w:rPr>
          <w:rFonts w:asciiTheme="majorEastAsia" w:hAnsiTheme="majorEastAsia" w:eastAsiaTheme="majorEastAsia"/>
          <w:spacing w:val="-5"/>
          <w:sz w:val="24"/>
          <w:szCs w:val="24"/>
          <w:lang w:eastAsia="zh-CN"/>
        </w:rPr>
      </w:pPr>
      <w:r>
        <w:rPr>
          <w:rFonts w:hint="eastAsia"/>
          <w:sz w:val="24"/>
          <w:szCs w:val="24"/>
          <w:lang w:eastAsia="zh-CN"/>
        </w:rPr>
        <w:t xml:space="preserve">1. </w:t>
      </w:r>
      <w:r>
        <w:rPr>
          <w:rFonts w:hint="eastAsia" w:asciiTheme="majorEastAsia" w:hAnsiTheme="majorEastAsia" w:eastAsiaTheme="majorEastAsia"/>
          <w:spacing w:val="-5"/>
          <w:sz w:val="24"/>
          <w:szCs w:val="24"/>
          <w:lang w:eastAsia="zh-CN"/>
        </w:rPr>
        <w:t>参选人必须具备有效的企业法人营业执照，具有在中华人民共和国注册的法人资格，能够独立承担民事责任，参选单位须具有甲级以上监测资质，且资质在有效期内。出具的技术文件符合政府相关部门的要求。；</w:t>
      </w:r>
    </w:p>
    <w:p w14:paraId="2E8FEF16">
      <w:pPr>
        <w:pStyle w:val="19"/>
        <w:widowControl/>
        <w:autoSpaceDE/>
        <w:autoSpaceDN/>
        <w:spacing w:before="0" w:line="420" w:lineRule="atLeast"/>
        <w:ind w:left="0" w:firstLine="460" w:firstLineChars="200"/>
        <w:jc w:val="both"/>
        <w:rPr>
          <w:rFonts w:asciiTheme="majorEastAsia" w:hAnsiTheme="majorEastAsia" w:eastAsiaTheme="majorEastAsia"/>
          <w:spacing w:val="-5"/>
          <w:sz w:val="24"/>
          <w:szCs w:val="24"/>
          <w:lang w:eastAsia="zh-CN"/>
        </w:rPr>
      </w:pPr>
      <w:r>
        <w:rPr>
          <w:rFonts w:hint="eastAsia" w:asciiTheme="majorEastAsia" w:hAnsiTheme="majorEastAsia" w:eastAsiaTheme="majorEastAsia"/>
          <w:spacing w:val="-5"/>
          <w:sz w:val="24"/>
          <w:szCs w:val="24"/>
          <w:lang w:eastAsia="zh-CN"/>
        </w:rPr>
        <w:t>2. 业绩要求：近3年（2021年7月10日至2024年7月10日）至少有同类型（房建）基坑监测服务成功业绩（提供合同复印件证明文件）；</w:t>
      </w:r>
    </w:p>
    <w:p w14:paraId="62D3DAEF">
      <w:pPr>
        <w:pStyle w:val="19"/>
        <w:widowControl/>
        <w:autoSpaceDE/>
        <w:autoSpaceDN/>
        <w:spacing w:before="0" w:line="420" w:lineRule="atLeast"/>
        <w:ind w:left="0" w:firstLine="460" w:firstLineChars="200"/>
        <w:jc w:val="both"/>
        <w:rPr>
          <w:rFonts w:asciiTheme="majorEastAsia" w:hAnsiTheme="majorEastAsia" w:eastAsiaTheme="majorEastAsia"/>
          <w:spacing w:val="-5"/>
          <w:sz w:val="24"/>
          <w:szCs w:val="24"/>
          <w:lang w:eastAsia="zh-CN"/>
        </w:rPr>
      </w:pPr>
      <w:r>
        <w:rPr>
          <w:rFonts w:hint="eastAsia" w:asciiTheme="majorEastAsia" w:hAnsiTheme="majorEastAsia" w:eastAsiaTheme="majorEastAsia"/>
          <w:spacing w:val="-5"/>
          <w:sz w:val="24"/>
          <w:szCs w:val="24"/>
          <w:lang w:eastAsia="zh-CN"/>
        </w:rPr>
        <w:t xml:space="preserve">3. </w:t>
      </w:r>
      <w:r>
        <w:rPr>
          <w:rFonts w:asciiTheme="majorEastAsia" w:hAnsiTheme="majorEastAsia" w:eastAsiaTheme="majorEastAsia"/>
          <w:spacing w:val="-5"/>
          <w:sz w:val="24"/>
          <w:szCs w:val="24"/>
          <w:lang w:eastAsia="zh-CN"/>
        </w:rPr>
        <w:t>没有失信黑名单记录（以最高院失信被执行人系统发布信息为准）；</w:t>
      </w:r>
    </w:p>
    <w:p w14:paraId="7482E8A6">
      <w:pPr>
        <w:spacing w:line="360" w:lineRule="auto"/>
        <w:ind w:firstLine="460" w:firstLineChars="200"/>
        <w:rPr>
          <w:rFonts w:asciiTheme="majorEastAsia" w:hAnsiTheme="majorEastAsia" w:eastAsiaTheme="majorEastAsia"/>
          <w:spacing w:val="-5"/>
          <w:sz w:val="24"/>
          <w:szCs w:val="24"/>
          <w:lang w:eastAsia="zh-CN"/>
        </w:rPr>
      </w:pPr>
      <w:r>
        <w:rPr>
          <w:rFonts w:hint="eastAsia" w:asciiTheme="majorEastAsia" w:hAnsiTheme="majorEastAsia" w:eastAsiaTheme="majorEastAsia"/>
          <w:spacing w:val="-5"/>
          <w:sz w:val="24"/>
          <w:szCs w:val="24"/>
          <w:lang w:eastAsia="zh-CN"/>
        </w:rPr>
        <w:t>4. 本标不接受联合体投标。</w:t>
      </w:r>
    </w:p>
    <w:p w14:paraId="5D2422BC">
      <w:pPr>
        <w:pStyle w:val="2"/>
        <w:spacing w:line="360" w:lineRule="auto"/>
        <w:ind w:left="0"/>
        <w:rPr>
          <w:sz w:val="24"/>
          <w:szCs w:val="24"/>
          <w:lang w:eastAsia="zh-CN"/>
        </w:rPr>
      </w:pPr>
      <w:r>
        <w:rPr>
          <w:w w:val="95"/>
          <w:sz w:val="24"/>
          <w:szCs w:val="24"/>
          <w:lang w:eastAsia="zh-CN"/>
        </w:rPr>
        <w:t>七、参选保证金</w:t>
      </w:r>
    </w:p>
    <w:p w14:paraId="4E557F01">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1、参选保证金的金额为：人民币壹仟陆佰元整（</w:t>
      </w:r>
      <w:r>
        <w:rPr>
          <w:rFonts w:hint="eastAsia" w:cs="Arial" w:asciiTheme="majorEastAsia" w:hAnsiTheme="majorEastAsia" w:eastAsiaTheme="majorEastAsia"/>
          <w:b/>
          <w:bCs/>
          <w:color w:val="333333"/>
          <w:sz w:val="24"/>
          <w:szCs w:val="24"/>
          <w:lang w:eastAsia="zh-CN"/>
        </w:rPr>
        <w:t>2000.00元</w:t>
      </w:r>
      <w:r>
        <w:rPr>
          <w:rFonts w:hint="eastAsia" w:cs="Arial" w:asciiTheme="majorEastAsia" w:hAnsiTheme="majorEastAsia" w:eastAsiaTheme="majorEastAsia"/>
          <w:color w:val="333333"/>
          <w:sz w:val="24"/>
          <w:szCs w:val="24"/>
          <w:lang w:eastAsia="zh-CN"/>
        </w:rPr>
        <w:t>）；</w:t>
      </w:r>
    </w:p>
    <w:p w14:paraId="40F63B1B">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14:paraId="41464A4F">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14:paraId="409D87D3">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14:paraId="76707C4C">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开户名称：福建福化古雷石油化工有限公司 </w:t>
      </w:r>
    </w:p>
    <w:p w14:paraId="545D56DC">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开户银行：兴业银行漳州古雷支行</w:t>
      </w:r>
    </w:p>
    <w:p w14:paraId="1BDA1B74">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号：162070100100015218</w:t>
      </w:r>
    </w:p>
    <w:p w14:paraId="195BE957">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注明用途：基坑支护工程监测服务参选保证金</w:t>
      </w:r>
    </w:p>
    <w:p w14:paraId="76136AEB">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14:paraId="61F9C20A">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14:paraId="4595DF76">
      <w:pPr>
        <w:pStyle w:val="5"/>
        <w:spacing w:line="360" w:lineRule="auto"/>
        <w:ind w:firstLine="480" w:firstLineChars="200"/>
        <w:jc w:val="both"/>
        <w:rPr>
          <w:rFonts w:cs="Arial" w:asciiTheme="majorEastAsia" w:hAnsiTheme="majorEastAsia" w:eastAsiaTheme="majorEastAsia"/>
          <w:color w:val="333333"/>
          <w:lang w:eastAsia="zh-CN"/>
        </w:rPr>
      </w:pPr>
      <w:r>
        <w:rPr>
          <w:rFonts w:hint="eastAsia" w:asciiTheme="majorEastAsia" w:hAnsiTheme="majorEastAsia" w:eastAsiaTheme="majorEastAsia"/>
          <w:lang w:eastAsia="zh-CN"/>
        </w:rPr>
        <w:t>5、</w:t>
      </w:r>
      <w:r>
        <w:rPr>
          <w:rFonts w:hint="eastAsia" w:cs="Arial" w:asciiTheme="majorEastAsia" w:hAnsiTheme="majorEastAsia" w:eastAsiaTheme="majorEastAsia"/>
          <w:color w:val="333333"/>
          <w:lang w:eastAsia="zh-CN"/>
        </w:rPr>
        <w:t>对于未能按要求提交保证金的参选文件，比选单位可以视为不符合上面比选要求而予以拒绝；</w:t>
      </w:r>
    </w:p>
    <w:p w14:paraId="21AA85F0">
      <w:pPr>
        <w:pStyle w:val="5"/>
        <w:spacing w:line="360" w:lineRule="auto"/>
        <w:ind w:firstLine="480" w:firstLineChars="200"/>
        <w:jc w:val="both"/>
        <w:rPr>
          <w:rFonts w:cs="Arial" w:asciiTheme="majorEastAsia" w:hAnsiTheme="majorEastAsia" w:eastAsiaTheme="majorEastAsia"/>
          <w:color w:val="333333"/>
          <w:lang w:eastAsia="zh-CN"/>
        </w:rPr>
      </w:pPr>
      <w:r>
        <w:rPr>
          <w:rFonts w:hint="eastAsia" w:cs="Arial" w:asciiTheme="majorEastAsia" w:hAnsiTheme="majorEastAsia" w:eastAsiaTheme="majorEastAsia"/>
          <w:color w:val="333333"/>
          <w:lang w:eastAsia="zh-CN"/>
        </w:rPr>
        <w:t>6、本项目比选结束后，未中选的参选人其所递交的参选保证金将于本项目合同签订后退回至参选人基本账户（无息），最迟不超过规定的比选有效期满后的20天；</w:t>
      </w:r>
    </w:p>
    <w:p w14:paraId="25E11A63">
      <w:pPr>
        <w:pStyle w:val="5"/>
        <w:spacing w:line="360" w:lineRule="auto"/>
        <w:ind w:firstLine="480" w:firstLineChars="200"/>
        <w:jc w:val="both"/>
        <w:rPr>
          <w:rFonts w:cs="Arial" w:asciiTheme="majorEastAsia" w:hAnsiTheme="majorEastAsia" w:eastAsiaTheme="majorEastAsia"/>
          <w:color w:val="333333"/>
          <w:lang w:eastAsia="zh-CN"/>
        </w:rPr>
      </w:pPr>
      <w:r>
        <w:rPr>
          <w:rFonts w:hint="eastAsia" w:cs="Arial" w:asciiTheme="majorEastAsia" w:hAnsiTheme="majorEastAsia" w:eastAsiaTheme="majorEastAsia"/>
          <w:color w:val="333333"/>
          <w:lang w:eastAsia="zh-CN"/>
        </w:rPr>
        <w:t>7、中选者的参选保证金（无息），将在合同签订后自动转为履约保证金，若乙方在合同履行过程中不存在任何违约情况，将于合同周期完成后15个工作日内，甲方无息退还履约保证金；</w:t>
      </w:r>
    </w:p>
    <w:p w14:paraId="47BE0568">
      <w:pPr>
        <w:pStyle w:val="5"/>
        <w:spacing w:line="360" w:lineRule="auto"/>
        <w:ind w:firstLine="480" w:firstLineChars="200"/>
        <w:jc w:val="both"/>
        <w:rPr>
          <w:rFonts w:cs="Arial" w:asciiTheme="majorEastAsia" w:hAnsiTheme="majorEastAsia" w:eastAsiaTheme="majorEastAsia"/>
          <w:color w:val="333333"/>
          <w:lang w:eastAsia="zh-CN"/>
        </w:rPr>
      </w:pPr>
      <w:r>
        <w:rPr>
          <w:rFonts w:hint="eastAsia" w:cs="Arial" w:asciiTheme="majorEastAsia" w:hAnsiTheme="majorEastAsia" w:eastAsiaTheme="majorEastAsia"/>
          <w:color w:val="333333"/>
          <w:lang w:eastAsia="zh-CN"/>
        </w:rPr>
        <w:t>8、如有下列情况发生，将被没收参选保证金：</w:t>
      </w:r>
    </w:p>
    <w:p w14:paraId="5FE23E85">
      <w:pPr>
        <w:pStyle w:val="5"/>
        <w:spacing w:line="360" w:lineRule="auto"/>
        <w:jc w:val="both"/>
        <w:rPr>
          <w:rFonts w:cs="Arial" w:asciiTheme="majorEastAsia" w:hAnsiTheme="majorEastAsia" w:eastAsiaTheme="majorEastAsia"/>
          <w:color w:val="333333"/>
          <w:lang w:eastAsia="zh-CN"/>
        </w:rPr>
      </w:pPr>
      <w:r>
        <w:rPr>
          <w:rFonts w:hint="eastAsia" w:cs="Arial" w:asciiTheme="majorEastAsia" w:hAnsiTheme="majorEastAsia" w:eastAsiaTheme="majorEastAsia"/>
          <w:color w:val="333333"/>
          <w:lang w:eastAsia="zh-CN"/>
        </w:rPr>
        <w:t xml:space="preserve">    （1）参选单位在参选有效期内撤回参选文件；</w:t>
      </w:r>
    </w:p>
    <w:p w14:paraId="0585690F">
      <w:pPr>
        <w:pStyle w:val="2"/>
        <w:spacing w:line="360" w:lineRule="auto"/>
        <w:ind w:left="0" w:firstLine="470" w:firstLineChars="196"/>
        <w:rPr>
          <w:rFonts w:cs="Arial" w:asciiTheme="majorEastAsia" w:hAnsiTheme="majorEastAsia" w:eastAsiaTheme="majorEastAsia"/>
          <w:b w:val="0"/>
          <w:bCs w:val="0"/>
          <w:color w:val="333333"/>
          <w:sz w:val="24"/>
          <w:szCs w:val="24"/>
          <w:lang w:eastAsia="zh-CN"/>
        </w:rPr>
      </w:pPr>
      <w:r>
        <w:rPr>
          <w:rFonts w:hint="eastAsia" w:cs="Arial" w:asciiTheme="majorEastAsia" w:hAnsiTheme="majorEastAsia" w:eastAsiaTheme="majorEastAsia"/>
          <w:b w:val="0"/>
          <w:bCs w:val="0"/>
          <w:color w:val="333333"/>
          <w:sz w:val="24"/>
          <w:szCs w:val="24"/>
          <w:lang w:eastAsia="zh-CN"/>
        </w:rPr>
        <w:t>（2）参选单位未能按接到中标通知书后规定的时间内签定合同。</w:t>
      </w:r>
    </w:p>
    <w:p w14:paraId="6A1C17C6">
      <w:pPr>
        <w:pStyle w:val="2"/>
        <w:spacing w:line="360" w:lineRule="auto"/>
        <w:ind w:left="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八、参选文件的递交</w:t>
      </w:r>
    </w:p>
    <w:p w14:paraId="52C8F107">
      <w:pPr>
        <w:pStyle w:val="3"/>
        <w:tabs>
          <w:tab w:val="left" w:pos="6879"/>
        </w:tabs>
        <w:spacing w:line="360" w:lineRule="auto"/>
        <w:ind w:left="0" w:firstLine="472" w:firstLineChars="196"/>
        <w:rPr>
          <w:rFonts w:asciiTheme="majorEastAsia" w:hAnsiTheme="majorEastAsia" w:eastAsiaTheme="majorEastAsia"/>
          <w:lang w:eastAsia="zh-CN"/>
        </w:rPr>
      </w:pPr>
      <w:r>
        <w:rPr>
          <w:rFonts w:asciiTheme="majorEastAsia" w:hAnsiTheme="majorEastAsia" w:eastAsiaTheme="majorEastAsia"/>
          <w:lang w:eastAsia="zh-CN"/>
        </w:rPr>
        <w:t>1.参选文件递交的截止时间：</w:t>
      </w:r>
      <w:r>
        <w:rPr>
          <w:rFonts w:hint="eastAsia" w:asciiTheme="majorEastAsia" w:hAnsiTheme="majorEastAsia" w:eastAsiaTheme="majorEastAsia"/>
          <w:lang w:eastAsia="zh-CN"/>
        </w:rPr>
        <w:t>见比选公告</w:t>
      </w:r>
    </w:p>
    <w:p w14:paraId="01D37B2E">
      <w:pPr>
        <w:pStyle w:val="3"/>
        <w:tabs>
          <w:tab w:val="left" w:pos="6879"/>
        </w:tabs>
        <w:spacing w:line="360" w:lineRule="auto"/>
        <w:ind w:left="0" w:firstLine="472" w:firstLineChars="196"/>
        <w:rPr>
          <w:rFonts w:asciiTheme="majorEastAsia" w:hAnsiTheme="majorEastAsia" w:eastAsiaTheme="majorEastAsia"/>
          <w:spacing w:val="-57"/>
          <w:lang w:eastAsia="zh-CN"/>
        </w:rPr>
      </w:pPr>
      <w:r>
        <w:rPr>
          <w:rFonts w:asciiTheme="majorEastAsia" w:hAnsiTheme="majorEastAsia" w:eastAsiaTheme="majorEastAsia"/>
          <w:lang w:eastAsia="zh-CN"/>
        </w:rPr>
        <w:t>2.</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lang w:eastAsia="zh-CN"/>
        </w:rPr>
        <w:t>漳州市漳浦县杜浔镇杜昌路9号</w:t>
      </w:r>
    </w:p>
    <w:p w14:paraId="29293AD3">
      <w:pPr>
        <w:pStyle w:val="3"/>
        <w:tabs>
          <w:tab w:val="left" w:pos="6879"/>
        </w:tabs>
        <w:spacing w:line="360" w:lineRule="auto"/>
        <w:ind w:left="0" w:firstLine="806" w:firstLineChars="346"/>
        <w:rPr>
          <w:rFonts w:asciiTheme="majorEastAsia" w:hAnsiTheme="majorEastAsia" w:eastAsiaTheme="majorEastAsia"/>
          <w:spacing w:val="-4"/>
          <w:lang w:eastAsia="zh-CN"/>
        </w:rPr>
      </w:pPr>
      <w:r>
        <w:rPr>
          <w:rFonts w:hint="eastAsia" w:asciiTheme="majorEastAsia" w:hAnsiTheme="majorEastAsia" w:eastAsiaTheme="majorEastAsia"/>
          <w:spacing w:val="-4"/>
          <w:lang w:eastAsia="zh-CN"/>
        </w:rPr>
        <w:t>商务联系人：张女士</w:t>
      </w:r>
      <w:r>
        <w:rPr>
          <w:rFonts w:hint="eastAsia" w:asciiTheme="majorEastAsia" w:hAnsiTheme="majorEastAsia" w:eastAsiaTheme="majorEastAsia"/>
          <w:lang w:eastAsia="zh-CN"/>
        </w:rPr>
        <w:t xml:space="preserve">     电话：19959614706</w:t>
      </w:r>
    </w:p>
    <w:p w14:paraId="2DC28374">
      <w:pPr>
        <w:pStyle w:val="3"/>
        <w:tabs>
          <w:tab w:val="left" w:pos="6879"/>
        </w:tabs>
        <w:spacing w:line="360" w:lineRule="auto"/>
        <w:ind w:left="0" w:firstLine="806" w:firstLineChars="346"/>
        <w:rPr>
          <w:rFonts w:asciiTheme="majorEastAsia" w:hAnsiTheme="majorEastAsia" w:eastAsiaTheme="majorEastAsia"/>
          <w:spacing w:val="-6"/>
          <w:lang w:eastAsia="zh-CN"/>
        </w:rPr>
      </w:pPr>
      <w:r>
        <w:rPr>
          <w:rFonts w:hint="eastAsia" w:asciiTheme="majorEastAsia" w:hAnsiTheme="majorEastAsia" w:eastAsiaTheme="majorEastAsia"/>
          <w:spacing w:val="-4"/>
          <w:lang w:eastAsia="zh-CN"/>
        </w:rPr>
        <w:t>技术联系人：林永艺     电话：13850492357</w:t>
      </w:r>
    </w:p>
    <w:p w14:paraId="1A39B89C">
      <w:pPr>
        <w:spacing w:line="360" w:lineRule="auto"/>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14:paraId="336BE661">
      <w:pPr>
        <w:pStyle w:val="5"/>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14:paraId="4D71E96F">
      <w:pPr>
        <w:pStyle w:val="5"/>
        <w:spacing w:line="360" w:lineRule="auto"/>
        <w:ind w:firstLine="480" w:firstLineChars="200"/>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14:paraId="26152B21">
      <w:pPr>
        <w:pStyle w:val="2"/>
        <w:spacing w:line="360" w:lineRule="auto"/>
        <w:ind w:left="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14:paraId="152468BB">
      <w:pPr>
        <w:pStyle w:val="7"/>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14:paraId="30D29C4F">
      <w:pPr>
        <w:pStyle w:val="7"/>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14:paraId="1AC35C64">
      <w:pPr>
        <w:pStyle w:val="7"/>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14:paraId="53BC2C10">
      <w:pPr>
        <w:pStyle w:val="7"/>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14:paraId="74F34371">
      <w:pPr>
        <w:pStyle w:val="7"/>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14:paraId="336F39E4">
      <w:pPr>
        <w:pStyle w:val="7"/>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14:paraId="4D0CB2C6">
      <w:pPr>
        <w:pStyle w:val="7"/>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14:paraId="7B3332B0">
      <w:pPr>
        <w:pStyle w:val="7"/>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14:paraId="762C8531">
      <w:pPr>
        <w:pStyle w:val="7"/>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14:paraId="24FEA15D">
      <w:pPr>
        <w:pStyle w:val="7"/>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对比选结果有异议的异议人不是本项目参与者，或者与本项目无任何利害关系；</w:t>
      </w:r>
    </w:p>
    <w:p w14:paraId="57812A4D">
      <w:pPr>
        <w:pStyle w:val="7"/>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14:paraId="1140AAAF">
      <w:pPr>
        <w:pStyle w:val="7"/>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14:paraId="78E0C5D3">
      <w:pPr>
        <w:spacing w:line="360" w:lineRule="auto"/>
        <w:ind w:firstLine="470" w:firstLineChars="196"/>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14:paraId="62123014">
      <w:pPr>
        <w:pStyle w:val="2"/>
        <w:spacing w:line="360" w:lineRule="auto"/>
        <w:ind w:left="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14:paraId="6ECB55FD">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ajorEastAsia" w:hAnsiTheme="majorEastAsia" w:eastAsiaTheme="majorEastAsia"/>
          <w:b/>
          <w:sz w:val="24"/>
          <w:szCs w:val="24"/>
          <w:lang w:eastAsia="zh-CN"/>
        </w:rPr>
        <w:t>100000.00元</w:t>
      </w:r>
      <w:r>
        <w:rPr>
          <w:rFonts w:hint="eastAsia" w:asciiTheme="majorEastAsia" w:hAnsiTheme="majorEastAsia" w:eastAsiaTheme="majorEastAsia"/>
          <w:bCs/>
          <w:sz w:val="24"/>
          <w:szCs w:val="24"/>
          <w:lang w:eastAsia="zh-CN"/>
        </w:rPr>
        <w:t>。参选人所填报的参选总价高于本项目最高限价的，其参选将被评标委员会予以否决</w:t>
      </w:r>
      <w:r>
        <w:rPr>
          <w:rFonts w:hint="eastAsia" w:asciiTheme="majorEastAsia" w:hAnsiTheme="majorEastAsia" w:eastAsiaTheme="majorEastAsia"/>
          <w:sz w:val="24"/>
          <w:szCs w:val="24"/>
          <w:lang w:eastAsia="zh-CN"/>
        </w:rPr>
        <w:t>。</w:t>
      </w:r>
    </w:p>
    <w:p w14:paraId="09AECC3D">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14:paraId="11DE076C">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了解基坑支护工程设计要求及图纸，充分考虑合同实施过程中因人力成本的增加、国家宏观调控、经济环境变化等因素所产生费用的增加。比选文件中要求列入参选的费用，漏（缺）报的视同已含在参选总价中。</w:t>
      </w:r>
    </w:p>
    <w:p w14:paraId="0DCF63BF">
      <w:pPr>
        <w:pStyle w:val="5"/>
        <w:spacing w:line="360" w:lineRule="auto"/>
        <w:ind w:firstLine="480"/>
        <w:jc w:val="both"/>
        <w:rPr>
          <w:lang w:eastAsia="zh-CN"/>
        </w:rPr>
      </w:pPr>
      <w:r>
        <w:rPr>
          <w:rFonts w:hint="eastAsia" w:asciiTheme="majorEastAsia" w:hAnsiTheme="majorEastAsia" w:eastAsiaTheme="majorEastAsia"/>
          <w:bCs/>
          <w:spacing w:val="-2"/>
          <w:lang w:eastAsia="zh-CN"/>
        </w:rPr>
        <w:t>备注：如依据我国法律法规及税收政策，本合同项下服务所涉及的增值税税率发生调整，双方一致同意按照调整后的增值税税率相应调整合同价款。</w:t>
      </w:r>
    </w:p>
    <w:p w14:paraId="683261FD">
      <w:pPr>
        <w:pStyle w:val="2"/>
        <w:tabs>
          <w:tab w:val="left" w:pos="4627"/>
        </w:tabs>
        <w:spacing w:line="360" w:lineRule="auto"/>
        <w:ind w:left="0" w:firstLine="2642" w:firstLineChars="940"/>
        <w:rPr>
          <w:lang w:eastAsia="zh-CN"/>
        </w:rPr>
      </w:pPr>
    </w:p>
    <w:p w14:paraId="6FE60B50">
      <w:pPr>
        <w:pStyle w:val="2"/>
        <w:tabs>
          <w:tab w:val="left" w:pos="4627"/>
        </w:tabs>
        <w:spacing w:line="360" w:lineRule="auto"/>
        <w:ind w:left="0" w:firstLine="2642" w:firstLineChars="940"/>
        <w:rPr>
          <w:lang w:eastAsia="zh-CN"/>
        </w:rPr>
      </w:pPr>
      <w:r>
        <w:rPr>
          <w:lang w:eastAsia="zh-CN"/>
        </w:rPr>
        <w:t>第三章</w:t>
      </w:r>
      <w:r>
        <w:rPr>
          <w:lang w:eastAsia="zh-CN"/>
        </w:rPr>
        <w:tab/>
      </w:r>
      <w:r>
        <w:rPr>
          <w:spacing w:val="-1"/>
          <w:w w:val="95"/>
          <w:lang w:eastAsia="zh-CN"/>
        </w:rPr>
        <w:t>参选文</w:t>
      </w:r>
      <w:r>
        <w:rPr>
          <w:w w:val="95"/>
          <w:lang w:eastAsia="zh-CN"/>
        </w:rPr>
        <w:t>件的编制</w:t>
      </w:r>
    </w:p>
    <w:p w14:paraId="674CE52F">
      <w:pPr>
        <w:pStyle w:val="5"/>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14:paraId="0C013649">
      <w:pPr>
        <w:pStyle w:val="19"/>
        <w:numPr>
          <w:ilvl w:val="0"/>
          <w:numId w:val="1"/>
        </w:numPr>
        <w:spacing w:before="0" w:line="360" w:lineRule="auto"/>
        <w:ind w:left="0" w:firstLine="0"/>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14:paraId="258C4BD0">
      <w:pPr>
        <w:pStyle w:val="19"/>
        <w:adjustRightInd w:val="0"/>
        <w:snapToGrid w:val="0"/>
        <w:spacing w:before="0" w:line="360" w:lineRule="auto"/>
        <w:ind w:left="0" w:firstLine="480" w:firstLineChars="20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w:t>
      </w:r>
    </w:p>
    <w:p w14:paraId="1245345F">
      <w:pPr>
        <w:pStyle w:val="19"/>
        <w:adjustRightInd w:val="0"/>
        <w:snapToGrid w:val="0"/>
        <w:spacing w:before="0" w:line="360" w:lineRule="auto"/>
        <w:ind w:left="0" w:firstLine="480" w:firstLineChars="20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14:paraId="03F6D0C5">
      <w:pPr>
        <w:pStyle w:val="19"/>
        <w:adjustRightInd w:val="0"/>
        <w:snapToGrid w:val="0"/>
        <w:spacing w:before="0" w:line="360" w:lineRule="auto"/>
        <w:ind w:left="0" w:firstLine="480" w:firstLineChars="20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14:paraId="2EB3C825">
      <w:pPr>
        <w:pStyle w:val="19"/>
        <w:adjustRightInd w:val="0"/>
        <w:snapToGrid w:val="0"/>
        <w:spacing w:before="0" w:line="360" w:lineRule="auto"/>
        <w:ind w:left="0" w:firstLine="480" w:firstLineChars="20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14:paraId="4211FE38">
      <w:pPr>
        <w:pStyle w:val="19"/>
        <w:adjustRightInd w:val="0"/>
        <w:snapToGrid w:val="0"/>
        <w:spacing w:before="0" w:line="360" w:lineRule="auto"/>
        <w:ind w:left="0" w:firstLine="480" w:firstLineChars="20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14:paraId="47528ED3">
      <w:pPr>
        <w:pStyle w:val="19"/>
        <w:adjustRightInd w:val="0"/>
        <w:snapToGrid w:val="0"/>
        <w:spacing w:before="0" w:line="360" w:lineRule="auto"/>
        <w:ind w:left="0" w:firstLine="480" w:firstLineChars="20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6）按本须知规定提供的其它资料</w:t>
      </w:r>
      <w:r>
        <w:rPr>
          <w:rFonts w:hint="eastAsia" w:asciiTheme="majorEastAsia" w:hAnsiTheme="majorEastAsia" w:eastAsiaTheme="majorEastAsia"/>
          <w:kern w:val="59"/>
          <w:sz w:val="24"/>
          <w:szCs w:val="24"/>
          <w:lang w:eastAsia="zh-CN"/>
        </w:rPr>
        <w:t>。</w:t>
      </w:r>
    </w:p>
    <w:p w14:paraId="453DFE62">
      <w:pPr>
        <w:pStyle w:val="5"/>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14:paraId="7654C53F">
      <w:pPr>
        <w:pStyle w:val="5"/>
        <w:spacing w:line="360" w:lineRule="auto"/>
        <w:ind w:firstLine="482" w:firstLineChars="200"/>
        <w:rPr>
          <w:lang w:eastAsia="zh-CN"/>
        </w:rPr>
      </w:pPr>
      <w:r>
        <w:rPr>
          <w:rFonts w:hint="eastAsia"/>
          <w:b/>
          <w:lang w:eastAsia="zh-CN"/>
        </w:rPr>
        <w:t>注：需提供参选文件及报价表电子版一份（盖章PDF版），报价表须独立盖章密封</w:t>
      </w:r>
    </w:p>
    <w:p w14:paraId="2D200550">
      <w:pPr>
        <w:pStyle w:val="2"/>
        <w:spacing w:line="360" w:lineRule="auto"/>
        <w:ind w:left="0" w:firstLine="458" w:firstLineChars="200"/>
        <w:rPr>
          <w:sz w:val="24"/>
          <w:szCs w:val="24"/>
          <w:lang w:eastAsia="zh-CN"/>
        </w:rPr>
      </w:pPr>
      <w:r>
        <w:rPr>
          <w:w w:val="95"/>
          <w:sz w:val="24"/>
          <w:szCs w:val="24"/>
          <w:lang w:eastAsia="zh-CN"/>
        </w:rPr>
        <w:t>二、参选书格式内容</w:t>
      </w:r>
    </w:p>
    <w:p w14:paraId="4078989E">
      <w:pPr>
        <w:pStyle w:val="5"/>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14:paraId="6D83B4F8">
      <w:pPr>
        <w:pStyle w:val="5"/>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w:t>
      </w:r>
      <w:r>
        <w:rPr>
          <w:rFonts w:hint="eastAsia"/>
          <w:b/>
          <w:bCs/>
          <w:u w:val="single"/>
          <w:lang w:eastAsia="zh-CN"/>
        </w:rPr>
        <w:t xml:space="preserve">3套 </w:t>
      </w:r>
      <w:r>
        <w:rPr>
          <w:rFonts w:hint="eastAsia"/>
          <w:lang w:eastAsia="zh-CN"/>
        </w:rPr>
        <w:t>参选文件。</w:t>
      </w:r>
    </w:p>
    <w:p w14:paraId="70C28A8C">
      <w:pPr>
        <w:pStyle w:val="2"/>
        <w:spacing w:line="360" w:lineRule="auto"/>
        <w:ind w:left="0" w:firstLine="458" w:firstLineChars="200"/>
        <w:rPr>
          <w:sz w:val="24"/>
          <w:szCs w:val="24"/>
          <w:lang w:eastAsia="zh-CN"/>
        </w:rPr>
      </w:pPr>
      <w:r>
        <w:rPr>
          <w:w w:val="95"/>
          <w:sz w:val="24"/>
          <w:szCs w:val="24"/>
          <w:lang w:eastAsia="zh-CN"/>
        </w:rPr>
        <w:t>三、参选报价</w:t>
      </w:r>
    </w:p>
    <w:p w14:paraId="724A11D2">
      <w:pPr>
        <w:pStyle w:val="5"/>
        <w:spacing w:line="360" w:lineRule="auto"/>
        <w:ind w:right="221" w:firstLine="476"/>
        <w:rPr>
          <w:spacing w:val="-4"/>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14:paraId="1E9A93F6">
      <w:pPr>
        <w:pStyle w:val="2"/>
        <w:spacing w:line="360" w:lineRule="auto"/>
        <w:ind w:left="0" w:firstLine="458" w:firstLineChars="200"/>
        <w:rPr>
          <w:sz w:val="24"/>
          <w:szCs w:val="24"/>
          <w:lang w:eastAsia="zh-CN"/>
        </w:rPr>
      </w:pPr>
      <w:r>
        <w:rPr>
          <w:w w:val="95"/>
          <w:sz w:val="24"/>
          <w:szCs w:val="24"/>
          <w:lang w:eastAsia="zh-CN"/>
        </w:rPr>
        <w:t>四、特别说明</w:t>
      </w:r>
    </w:p>
    <w:p w14:paraId="2B2B02C9">
      <w:pPr>
        <w:pStyle w:val="5"/>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14:paraId="2C169843">
      <w:pPr>
        <w:pStyle w:val="5"/>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收到比选文件后，如有疑问需澄清，请以书面形式在规定时间内报比选人汇总。</w:t>
      </w:r>
    </w:p>
    <w:p w14:paraId="79DC0180">
      <w:pPr>
        <w:pStyle w:val="5"/>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14:paraId="0832906D">
      <w:pPr>
        <w:pStyle w:val="6"/>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14:paraId="16DB6211">
      <w:pPr>
        <w:pStyle w:val="5"/>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14:paraId="794DF00D">
      <w:pPr>
        <w:pStyle w:val="5"/>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22420"/>
      <w:bookmarkStart w:id="1" w:name="_Toc430489126"/>
      <w:bookmarkStart w:id="2" w:name="_Toc430488858"/>
      <w:bookmarkStart w:id="3" w:name="_Toc304357904"/>
      <w:bookmarkStart w:id="4" w:name="_Toc430488651"/>
      <w:bookmarkStart w:id="5" w:name="_Toc177186249"/>
      <w:bookmarkStart w:id="6" w:name="_Toc430490619"/>
      <w:bookmarkStart w:id="7" w:name="_Toc430492133"/>
      <w:bookmarkStart w:id="8" w:name="_Toc415567504"/>
    </w:p>
    <w:p w14:paraId="3DFF26AC">
      <w:pPr>
        <w:pStyle w:val="5"/>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14:paraId="007B6962">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的分项价格和总价</w:t>
      </w:r>
      <w:r>
        <w:rPr>
          <w:rFonts w:hint="eastAsia"/>
          <w:sz w:val="24"/>
          <w:szCs w:val="24"/>
          <w:lang w:eastAsia="zh-CN"/>
        </w:rPr>
        <w:t>。</w:t>
      </w:r>
    </w:p>
    <w:p w14:paraId="1986805D">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14:paraId="57F72642">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14:paraId="3F839957">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14:paraId="369E7B38">
      <w:pPr>
        <w:pStyle w:val="5"/>
        <w:spacing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14:paraId="78E9DA4C">
      <w:pPr>
        <w:pStyle w:val="5"/>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14:paraId="3E689656">
      <w:pPr>
        <w:pStyle w:val="5"/>
        <w:spacing w:before="35" w:line="357" w:lineRule="auto"/>
        <w:ind w:right="226" w:firstLine="480"/>
        <w:jc w:val="both"/>
        <w:rPr>
          <w:lang w:eastAsia="zh-CN"/>
        </w:rPr>
      </w:pPr>
      <w:r>
        <w:rPr>
          <w:rFonts w:hint="eastAsia"/>
          <w:lang w:eastAsia="zh-CN"/>
        </w:rPr>
        <w:t>9.</w:t>
      </w:r>
      <w:r>
        <w:rPr>
          <w:lang w:eastAsia="zh-CN"/>
        </w:rPr>
        <w:t xml:space="preserve"> </w:t>
      </w:r>
      <w:r>
        <w:rPr>
          <w:rFonts w:hint="eastAsia"/>
          <w:lang w:eastAsia="zh-CN"/>
        </w:rPr>
        <w:t>参选文件正本应按要求由经正式授权的参选人代表签字并加盖参选人公章。副本可以用复印件。</w:t>
      </w:r>
    </w:p>
    <w:p w14:paraId="4D5C3D7A">
      <w:pPr>
        <w:pStyle w:val="2"/>
        <w:tabs>
          <w:tab w:val="left" w:pos="1488"/>
        </w:tabs>
        <w:spacing w:line="355" w:lineRule="exact"/>
        <w:ind w:left="365"/>
        <w:jc w:val="center"/>
        <w:rPr>
          <w:lang w:eastAsia="zh-CN"/>
        </w:rPr>
      </w:pPr>
    </w:p>
    <w:p w14:paraId="66AF6229">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14:paraId="7155ADDC">
      <w:pPr>
        <w:spacing w:before="15" w:line="360" w:lineRule="auto"/>
        <w:ind w:firstLine="343" w:firstLineChars="150"/>
        <w:rPr>
          <w:b/>
          <w:w w:val="95"/>
          <w:sz w:val="24"/>
          <w:szCs w:val="24"/>
          <w:lang w:eastAsia="zh-CN"/>
        </w:rPr>
      </w:pPr>
      <w:r>
        <w:rPr>
          <w:b/>
          <w:w w:val="95"/>
          <w:sz w:val="24"/>
          <w:szCs w:val="24"/>
          <w:lang w:eastAsia="zh-CN"/>
        </w:rPr>
        <w:t>一、规则</w:t>
      </w:r>
    </w:p>
    <w:p w14:paraId="7EFBD17F">
      <w:pPr>
        <w:pStyle w:val="5"/>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14:paraId="1DA0E9A7">
      <w:pPr>
        <w:pStyle w:val="5"/>
        <w:spacing w:line="360" w:lineRule="auto"/>
        <w:ind w:right="121" w:firstLine="480" w:firstLineChars="200"/>
        <w:jc w:val="both"/>
        <w:rPr>
          <w:lang w:eastAsia="zh-CN"/>
        </w:rPr>
      </w:pPr>
      <w:r>
        <w:rPr>
          <w:lang w:eastAsia="zh-CN"/>
        </w:rPr>
        <w:t>2.参选人串选、相互勾结故意压低标价以排挤竞争对手的公平竞争的，其参选无效。</w:t>
      </w:r>
    </w:p>
    <w:p w14:paraId="41307087">
      <w:pPr>
        <w:pStyle w:val="5"/>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14:paraId="7A59C21B">
      <w:pPr>
        <w:spacing w:before="15" w:line="360" w:lineRule="auto"/>
        <w:ind w:firstLine="458" w:firstLineChars="200"/>
        <w:rPr>
          <w:b/>
          <w:w w:val="95"/>
          <w:sz w:val="24"/>
          <w:szCs w:val="24"/>
          <w:lang w:eastAsia="zh-CN"/>
        </w:rPr>
      </w:pPr>
      <w:r>
        <w:rPr>
          <w:b/>
          <w:w w:val="95"/>
          <w:sz w:val="24"/>
          <w:szCs w:val="24"/>
          <w:lang w:eastAsia="zh-CN"/>
        </w:rPr>
        <w:t>二、资格审查</w:t>
      </w:r>
    </w:p>
    <w:p w14:paraId="6078888F">
      <w:pPr>
        <w:pStyle w:val="5"/>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0B1BAE71">
      <w:pPr>
        <w:spacing w:before="15" w:line="360" w:lineRule="auto"/>
        <w:ind w:firstLine="458" w:firstLineChars="200"/>
        <w:rPr>
          <w:b/>
          <w:w w:val="95"/>
          <w:sz w:val="24"/>
          <w:szCs w:val="24"/>
          <w:lang w:eastAsia="zh-CN"/>
        </w:rPr>
      </w:pPr>
      <w:r>
        <w:rPr>
          <w:b/>
          <w:w w:val="95"/>
          <w:sz w:val="24"/>
          <w:szCs w:val="24"/>
          <w:lang w:eastAsia="zh-CN"/>
        </w:rPr>
        <w:t>三、评选办法</w:t>
      </w:r>
    </w:p>
    <w:p w14:paraId="3FFFEC62">
      <w:pPr>
        <w:pStyle w:val="5"/>
        <w:spacing w:line="360" w:lineRule="auto"/>
        <w:ind w:right="121" w:firstLine="480" w:firstLineChars="200"/>
        <w:jc w:val="both"/>
        <w:rPr>
          <w:lang w:eastAsia="zh-CN"/>
        </w:rPr>
      </w:pPr>
      <w:r>
        <w:rPr>
          <w:rFonts w:hint="eastAsia"/>
          <w:lang w:eastAsia="zh-CN"/>
        </w:rPr>
        <w:t>本项目设置最高控制价</w:t>
      </w:r>
      <w:r>
        <w:rPr>
          <w:rFonts w:hint="eastAsia"/>
          <w:b/>
          <w:bCs/>
          <w:lang w:eastAsia="zh-CN"/>
        </w:rPr>
        <w:t>100000.00元（含税价）</w:t>
      </w:r>
      <w:r>
        <w:rPr>
          <w:rFonts w:hint="eastAsia"/>
          <w:lang w:eastAsia="zh-CN"/>
        </w:rPr>
        <w:t>。参选人所填报的报价高于本项目最高限价的，其参选将被比选小组予以否决。</w:t>
      </w:r>
    </w:p>
    <w:p w14:paraId="581C4271">
      <w:pPr>
        <w:pStyle w:val="5"/>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进行商务报价的评选，未税总价最低者作为中选单位</w:t>
      </w:r>
      <w:r>
        <w:rPr>
          <w:lang w:eastAsia="zh-CN"/>
        </w:rPr>
        <w:t>。</w:t>
      </w:r>
    </w:p>
    <w:p w14:paraId="4F2DD6E5">
      <w:pPr>
        <w:spacing w:before="15" w:line="360" w:lineRule="auto"/>
        <w:ind w:firstLine="458" w:firstLineChars="200"/>
        <w:rPr>
          <w:b/>
          <w:w w:val="95"/>
          <w:sz w:val="24"/>
          <w:szCs w:val="24"/>
          <w:lang w:eastAsia="zh-CN"/>
        </w:rPr>
      </w:pPr>
      <w:r>
        <w:rPr>
          <w:b/>
          <w:w w:val="95"/>
          <w:sz w:val="24"/>
          <w:szCs w:val="24"/>
          <w:lang w:eastAsia="zh-CN"/>
        </w:rPr>
        <w:t>四、以下情况作废选处理</w:t>
      </w:r>
    </w:p>
    <w:p w14:paraId="2C99F3F9">
      <w:pPr>
        <w:pStyle w:val="5"/>
        <w:spacing w:line="360" w:lineRule="auto"/>
        <w:ind w:right="121" w:firstLine="480" w:firstLineChars="200"/>
        <w:jc w:val="both"/>
        <w:rPr>
          <w:lang w:eastAsia="zh-CN"/>
        </w:rPr>
      </w:pPr>
      <w:r>
        <w:rPr>
          <w:lang w:eastAsia="zh-CN"/>
        </w:rPr>
        <w:t>1.对比选文件提出的实质性要求和条件，参选文件未能在实质上响应的。</w:t>
      </w:r>
    </w:p>
    <w:p w14:paraId="293156B3">
      <w:pPr>
        <w:pStyle w:val="5"/>
        <w:spacing w:line="360" w:lineRule="auto"/>
        <w:ind w:right="121" w:firstLine="480" w:firstLineChars="200"/>
        <w:jc w:val="both"/>
        <w:rPr>
          <w:lang w:eastAsia="zh-CN"/>
        </w:rPr>
      </w:pPr>
      <w:r>
        <w:rPr>
          <w:lang w:eastAsia="zh-CN"/>
        </w:rPr>
        <w:t>2.参选文件存在重大偏差的。</w:t>
      </w:r>
    </w:p>
    <w:p w14:paraId="64D7D031">
      <w:pPr>
        <w:pStyle w:val="5"/>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14:paraId="465AC65C">
      <w:pPr>
        <w:pStyle w:val="5"/>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14:paraId="23789A1B">
      <w:pPr>
        <w:spacing w:before="15" w:line="360" w:lineRule="auto"/>
        <w:ind w:firstLine="458" w:firstLineChars="200"/>
        <w:rPr>
          <w:b/>
          <w:w w:val="95"/>
          <w:sz w:val="24"/>
          <w:szCs w:val="24"/>
          <w:lang w:eastAsia="zh-CN"/>
        </w:rPr>
      </w:pPr>
      <w:r>
        <w:rPr>
          <w:b/>
          <w:w w:val="95"/>
          <w:sz w:val="24"/>
          <w:szCs w:val="24"/>
          <w:lang w:eastAsia="zh-CN"/>
        </w:rPr>
        <w:t>五、评选</w:t>
      </w:r>
    </w:p>
    <w:p w14:paraId="64BCB9C0">
      <w:pPr>
        <w:pStyle w:val="5"/>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14:paraId="372EE094">
      <w:pPr>
        <w:pStyle w:val="5"/>
        <w:spacing w:line="360" w:lineRule="auto"/>
        <w:ind w:firstLine="480" w:firstLineChars="200"/>
        <w:jc w:val="both"/>
        <w:rPr>
          <w:lang w:eastAsia="zh-CN"/>
        </w:rPr>
      </w:pPr>
      <w:r>
        <w:rPr>
          <w:lang w:eastAsia="zh-CN"/>
        </w:rPr>
        <w:t>2.在开选时没有启封和读出的参选文件，在评选时将不予考虑。</w:t>
      </w:r>
    </w:p>
    <w:p w14:paraId="1C6A61D6">
      <w:pPr>
        <w:pStyle w:val="5"/>
        <w:spacing w:line="360" w:lineRule="auto"/>
        <w:ind w:firstLine="480" w:firstLineChars="200"/>
        <w:jc w:val="both"/>
        <w:rPr>
          <w:lang w:eastAsia="zh-CN"/>
        </w:rPr>
      </w:pPr>
      <w:r>
        <w:rPr>
          <w:lang w:eastAsia="zh-CN"/>
        </w:rPr>
        <w:t>3.比选人将做开选记录。</w:t>
      </w:r>
    </w:p>
    <w:p w14:paraId="383820F0">
      <w:pPr>
        <w:pStyle w:val="2"/>
        <w:tabs>
          <w:tab w:val="left" w:pos="1632"/>
        </w:tabs>
        <w:spacing w:line="360" w:lineRule="auto"/>
        <w:ind w:left="0" w:firstLine="470" w:firstLineChars="196"/>
        <w:jc w:val="both"/>
        <w:rPr>
          <w:lang w:eastAsia="zh-CN"/>
        </w:rPr>
      </w:pPr>
      <w:r>
        <w:rPr>
          <w:rFonts w:hint="eastAsia"/>
          <w:b w:val="0"/>
          <w:sz w:val="24"/>
          <w:szCs w:val="24"/>
          <w:lang w:eastAsia="zh-CN"/>
        </w:rPr>
        <w:t>4.比选人将根据评选结果与中选人签订合同。</w:t>
      </w:r>
    </w:p>
    <w:p w14:paraId="5C547AFE">
      <w:pPr>
        <w:pStyle w:val="2"/>
        <w:tabs>
          <w:tab w:val="left" w:pos="1632"/>
        </w:tabs>
        <w:spacing w:line="360" w:lineRule="auto"/>
        <w:ind w:left="0"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14:paraId="2FFF3A04">
      <w:pPr>
        <w:pStyle w:val="5"/>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14:paraId="6D6179D3">
      <w:pPr>
        <w:pStyle w:val="5"/>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14:paraId="4F8B93B4">
      <w:pPr>
        <w:pStyle w:val="5"/>
        <w:spacing w:line="360" w:lineRule="auto"/>
        <w:ind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14:paraId="38AE4A91">
      <w:pPr>
        <w:pStyle w:val="5"/>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14:paraId="116F5EEA">
      <w:pPr>
        <w:pStyle w:val="5"/>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14:paraId="7899005C">
      <w:pPr>
        <w:pStyle w:val="5"/>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14:paraId="20AFC2F5">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14:paraId="11D6FC76">
      <w:pPr>
        <w:pStyle w:val="17"/>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14:paraId="7F9FEAF8">
      <w:pPr>
        <w:pStyle w:val="2"/>
        <w:tabs>
          <w:tab w:val="left" w:pos="4344"/>
        </w:tabs>
        <w:spacing w:line="360" w:lineRule="auto"/>
        <w:ind w:left="0"/>
        <w:rPr>
          <w:lang w:eastAsia="zh-CN"/>
        </w:rPr>
      </w:pPr>
    </w:p>
    <w:p w14:paraId="35061D76">
      <w:pPr>
        <w:pStyle w:val="2"/>
        <w:tabs>
          <w:tab w:val="left" w:pos="4344"/>
        </w:tabs>
        <w:spacing w:line="360" w:lineRule="auto"/>
        <w:ind w:left="0" w:firstLine="2642" w:firstLineChars="940"/>
        <w:rPr>
          <w:lang w:eastAsia="zh-CN"/>
        </w:rPr>
      </w:pPr>
      <w:r>
        <w:rPr>
          <w:lang w:eastAsia="zh-CN"/>
        </w:rPr>
        <w:t>第六章</w:t>
      </w:r>
      <w:r>
        <w:rPr>
          <w:lang w:eastAsia="zh-CN"/>
        </w:rPr>
        <w:tab/>
      </w:r>
      <w:r>
        <w:rPr>
          <w:spacing w:val="-1"/>
          <w:w w:val="95"/>
          <w:lang w:eastAsia="zh-CN"/>
        </w:rPr>
        <w:t>中选后相关</w:t>
      </w:r>
      <w:r>
        <w:rPr>
          <w:w w:val="95"/>
          <w:lang w:eastAsia="zh-CN"/>
        </w:rPr>
        <w:t>履约要求</w:t>
      </w:r>
    </w:p>
    <w:p w14:paraId="46A50AF6">
      <w:pPr>
        <w:pStyle w:val="5"/>
        <w:spacing w:line="360" w:lineRule="auto"/>
        <w:ind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14:paraId="44A26A11">
      <w:pPr>
        <w:pStyle w:val="5"/>
        <w:spacing w:line="360" w:lineRule="auto"/>
        <w:ind w:firstLine="482"/>
        <w:jc w:val="both"/>
        <w:rPr>
          <w:lang w:eastAsia="zh-CN"/>
        </w:rPr>
      </w:pPr>
      <w:r>
        <w:rPr>
          <w:lang w:eastAsia="zh-CN"/>
        </w:rPr>
        <w:t>2.</w:t>
      </w:r>
      <w:r>
        <w:rPr>
          <w:spacing w:val="-2"/>
          <w:lang w:eastAsia="zh-CN"/>
        </w:rPr>
        <w:t>中选单位必须严格执行</w:t>
      </w:r>
      <w:r>
        <w:rPr>
          <w:rFonts w:hint="eastAsia"/>
          <w:spacing w:val="-2"/>
          <w:sz w:val="22"/>
          <w:lang w:eastAsia="zh-CN"/>
        </w:rPr>
        <w:t>《</w:t>
      </w:r>
      <w:r>
        <w:rPr>
          <w:rFonts w:hint="eastAsia"/>
          <w:u w:val="single"/>
          <w:lang w:eastAsia="zh-CN"/>
        </w:rPr>
        <w:t>基坑支护工程监测</w:t>
      </w:r>
      <w:r>
        <w:rPr>
          <w:rFonts w:hint="eastAsia"/>
          <w:spacing w:val="-2"/>
          <w:sz w:val="22"/>
          <w:lang w:eastAsia="zh-CN"/>
        </w:rPr>
        <w:t>服务合同》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14:paraId="25CBDAD4">
      <w:pPr>
        <w:pStyle w:val="5"/>
        <w:spacing w:line="360" w:lineRule="auto"/>
        <w:ind w:firstLine="482"/>
        <w:jc w:val="both"/>
        <w:rPr>
          <w:spacing w:val="-6"/>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福建福化古雷石油化工</w:t>
      </w:r>
      <w:r>
        <w:rPr>
          <w:spacing w:val="-6"/>
          <w:lang w:eastAsia="zh-CN"/>
        </w:rPr>
        <w:t>有限公司相应条款进行处罚。</w:t>
      </w:r>
    </w:p>
    <w:p w14:paraId="1896C9E4">
      <w:pPr>
        <w:pStyle w:val="2"/>
        <w:tabs>
          <w:tab w:val="left" w:pos="1912"/>
        </w:tabs>
        <w:spacing w:line="360" w:lineRule="auto"/>
        <w:ind w:left="0" w:firstLine="3092" w:firstLineChars="1100"/>
        <w:jc w:val="both"/>
        <w:rPr>
          <w:lang w:eastAsia="zh-CN"/>
        </w:rPr>
      </w:pPr>
    </w:p>
    <w:p w14:paraId="6BCBDF41">
      <w:pPr>
        <w:pStyle w:val="2"/>
        <w:tabs>
          <w:tab w:val="left" w:pos="1912"/>
        </w:tabs>
        <w:spacing w:line="360" w:lineRule="auto"/>
        <w:ind w:left="0"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14:paraId="0740BFFF">
      <w:pPr>
        <w:pStyle w:val="5"/>
        <w:spacing w:line="360" w:lineRule="auto"/>
        <w:rPr>
          <w:lang w:eastAsia="zh-CN"/>
        </w:rPr>
      </w:pPr>
      <w:r>
        <w:rPr>
          <w:lang w:eastAsia="zh-CN"/>
        </w:rPr>
        <w:t>1.参选人的参选文件无论其是否中选，均不退回。</w:t>
      </w:r>
    </w:p>
    <w:p w14:paraId="5A124505">
      <w:pPr>
        <w:pStyle w:val="5"/>
        <w:spacing w:line="360" w:lineRule="auto"/>
        <w:rPr>
          <w:lang w:eastAsia="zh-CN"/>
        </w:rPr>
      </w:pPr>
      <w:r>
        <w:rPr>
          <w:lang w:eastAsia="zh-CN"/>
        </w:rPr>
        <w:t>2.比选人郑重承诺：参选人所提交的参选文件及相关资料不向第三方泄露。</w:t>
      </w:r>
    </w:p>
    <w:p w14:paraId="09EEB12E">
      <w:pPr>
        <w:pStyle w:val="5"/>
        <w:spacing w:line="360" w:lineRule="auto"/>
        <w:rPr>
          <w:lang w:eastAsia="zh-CN"/>
        </w:rPr>
      </w:pPr>
      <w:r>
        <w:rPr>
          <w:lang w:eastAsia="zh-CN"/>
        </w:rPr>
        <w:t>3.本比选文件的解释权归</w:t>
      </w:r>
      <w:r>
        <w:rPr>
          <w:rFonts w:hint="eastAsia"/>
          <w:lang w:eastAsia="zh-CN"/>
        </w:rPr>
        <w:t>福建福化古雷石油化工</w:t>
      </w:r>
      <w:r>
        <w:rPr>
          <w:lang w:eastAsia="zh-CN"/>
        </w:rPr>
        <w:t>有限公司。</w:t>
      </w:r>
    </w:p>
    <w:p w14:paraId="250FD574">
      <w:pPr>
        <w:pStyle w:val="5"/>
        <w:spacing w:line="360" w:lineRule="auto"/>
        <w:rPr>
          <w:lang w:eastAsia="zh-CN"/>
        </w:rPr>
      </w:pPr>
      <w:r>
        <w:rPr>
          <w:lang w:eastAsia="zh-CN"/>
        </w:rPr>
        <w:br w:type="page"/>
      </w:r>
    </w:p>
    <w:p w14:paraId="6B7C8F44">
      <w:pPr>
        <w:pStyle w:val="5"/>
        <w:rPr>
          <w:rFonts w:ascii="Times New Roman"/>
          <w:b/>
          <w:bCs/>
          <w:lang w:eastAsia="zh-CN"/>
        </w:rPr>
      </w:pPr>
      <w:r>
        <w:rPr>
          <w:rFonts w:hint="eastAsia" w:ascii="Times New Roman"/>
          <w:b/>
          <w:bCs/>
          <w:lang w:eastAsia="zh-CN"/>
        </w:rPr>
        <w:t>附件一</w:t>
      </w:r>
    </w:p>
    <w:p w14:paraId="24911286">
      <w:pPr>
        <w:spacing w:line="400" w:lineRule="exact"/>
        <w:jc w:val="center"/>
        <w:rPr>
          <w:rFonts w:ascii="Times New Roman"/>
          <w:b/>
          <w:bCs/>
          <w:sz w:val="32"/>
          <w:szCs w:val="32"/>
          <w:lang w:eastAsia="zh-CN"/>
        </w:rPr>
      </w:pPr>
      <w:r>
        <w:rPr>
          <w:rFonts w:hint="eastAsia" w:ascii="Times New Roman"/>
          <w:b/>
          <w:bCs/>
          <w:sz w:val="32"/>
          <w:szCs w:val="32"/>
          <w:lang w:eastAsia="zh-CN"/>
        </w:rPr>
        <w:t>福建福化古雷石油化工有限公司</w:t>
      </w:r>
    </w:p>
    <w:p w14:paraId="6C806B07">
      <w:pPr>
        <w:pStyle w:val="5"/>
        <w:spacing w:before="26"/>
        <w:ind w:right="121"/>
        <w:jc w:val="center"/>
        <w:rPr>
          <w:b/>
          <w:bCs/>
          <w:sz w:val="30"/>
          <w:szCs w:val="30"/>
          <w:lang w:eastAsia="zh-CN"/>
        </w:rPr>
      </w:pPr>
      <w:r>
        <w:rPr>
          <w:rFonts w:hint="eastAsia"/>
          <w:b/>
          <w:bCs/>
          <w:sz w:val="30"/>
          <w:szCs w:val="30"/>
          <w:lang w:eastAsia="zh-CN"/>
        </w:rPr>
        <w:t>福建能化集团福化古雷运营中心项目一期工程基坑支护工程</w:t>
      </w:r>
    </w:p>
    <w:p w14:paraId="1596EF45">
      <w:pPr>
        <w:spacing w:line="400" w:lineRule="exact"/>
        <w:jc w:val="center"/>
        <w:rPr>
          <w:b/>
          <w:bCs/>
          <w:sz w:val="30"/>
          <w:szCs w:val="30"/>
          <w:lang w:eastAsia="zh-CN"/>
        </w:rPr>
      </w:pPr>
      <w:r>
        <w:rPr>
          <w:rFonts w:hint="eastAsia"/>
          <w:b/>
          <w:bCs/>
          <w:sz w:val="30"/>
          <w:szCs w:val="30"/>
          <w:lang w:eastAsia="zh-CN"/>
        </w:rPr>
        <w:t>监测服务合同</w:t>
      </w:r>
    </w:p>
    <w:p w14:paraId="5A65EA21">
      <w:pPr>
        <w:spacing w:line="360" w:lineRule="auto"/>
        <w:ind w:firstLine="3960" w:firstLineChars="1650"/>
        <w:rPr>
          <w:color w:val="000000"/>
          <w:sz w:val="24"/>
          <w:lang w:eastAsia="zh-CN"/>
        </w:rPr>
      </w:pPr>
      <w:r>
        <w:rPr>
          <w:rFonts w:hint="eastAsia"/>
          <w:color w:val="000000"/>
          <w:sz w:val="24"/>
          <w:lang w:eastAsia="zh-CN"/>
        </w:rPr>
        <w:t>合同编号：</w:t>
      </w:r>
    </w:p>
    <w:p w14:paraId="12D3D972">
      <w:pPr>
        <w:pStyle w:val="17"/>
        <w:spacing w:line="360" w:lineRule="auto"/>
        <w:ind w:firstLine="3960" w:firstLineChars="1650"/>
        <w:rPr>
          <w:sz w:val="24"/>
          <w:szCs w:val="24"/>
        </w:rPr>
      </w:pPr>
      <w:r>
        <w:rPr>
          <w:rFonts w:hint="eastAsia"/>
          <w:sz w:val="24"/>
          <w:szCs w:val="24"/>
        </w:rPr>
        <w:t>签订日期：</w:t>
      </w:r>
    </w:p>
    <w:p w14:paraId="64499BA4">
      <w:pPr>
        <w:spacing w:line="360" w:lineRule="auto"/>
        <w:rPr>
          <w:color w:val="000000"/>
          <w:sz w:val="24"/>
          <w:lang w:eastAsia="zh-CN"/>
        </w:rPr>
      </w:pPr>
      <w:r>
        <w:rPr>
          <w:rFonts w:hint="eastAsia"/>
          <w:color w:val="000000"/>
          <w:sz w:val="24"/>
          <w:lang w:eastAsia="zh-CN"/>
        </w:rPr>
        <w:t>甲方：福建福化古雷石油化工有限公司</w:t>
      </w:r>
    </w:p>
    <w:p w14:paraId="76E4C960">
      <w:pPr>
        <w:spacing w:line="360" w:lineRule="auto"/>
        <w:rPr>
          <w:color w:val="000000"/>
          <w:sz w:val="24"/>
          <w:lang w:eastAsia="zh-CN"/>
        </w:rPr>
      </w:pPr>
      <w:r>
        <w:rPr>
          <w:rFonts w:hint="eastAsia"/>
          <w:color w:val="000000"/>
          <w:sz w:val="24"/>
          <w:lang w:eastAsia="zh-CN"/>
        </w:rPr>
        <w:t>乙方：</w:t>
      </w:r>
      <w:r>
        <w:rPr>
          <w:color w:val="000000"/>
          <w:sz w:val="24"/>
          <w:lang w:eastAsia="zh-CN"/>
        </w:rPr>
        <w:t xml:space="preserve"> </w:t>
      </w:r>
    </w:p>
    <w:p w14:paraId="420E702B">
      <w:pPr>
        <w:spacing w:line="360" w:lineRule="auto"/>
        <w:ind w:firstLine="480" w:firstLineChars="200"/>
        <w:rPr>
          <w:rStyle w:val="25"/>
          <w:color w:val="000000"/>
          <w:sz w:val="24"/>
          <w:lang w:eastAsia="zh-CN"/>
        </w:rPr>
      </w:pPr>
      <w:r>
        <w:rPr>
          <w:rFonts w:hint="eastAsia"/>
          <w:color w:val="000000"/>
          <w:sz w:val="24"/>
          <w:lang w:eastAsia="zh-CN"/>
        </w:rPr>
        <w:t>经甲乙双方商定，</w:t>
      </w:r>
      <w:r>
        <w:rPr>
          <w:rFonts w:hint="eastAsia" w:asciiTheme="minorEastAsia" w:hAnsiTheme="minorEastAsia" w:eastAsiaTheme="minorEastAsia"/>
          <w:sz w:val="24"/>
          <w:lang w:eastAsia="zh-CN"/>
        </w:rPr>
        <w:t>在真实、充分地表达各自意愿的基础上，根据《中华人民共和国民法典》的规定，</w:t>
      </w:r>
      <w:r>
        <w:rPr>
          <w:rFonts w:hint="eastAsia"/>
          <w:color w:val="000000"/>
          <w:sz w:val="24"/>
          <w:lang w:eastAsia="zh-CN"/>
        </w:rPr>
        <w:t>就甲方委托乙方针对</w:t>
      </w:r>
      <w:r>
        <w:rPr>
          <w:rFonts w:hint="eastAsia"/>
          <w:bCs/>
          <w:sz w:val="24"/>
          <w:szCs w:val="24"/>
          <w:lang w:eastAsia="zh-CN"/>
        </w:rPr>
        <w:t>福化古雷运营中心项目一期工程</w:t>
      </w:r>
      <w:r>
        <w:rPr>
          <w:rFonts w:hint="eastAsia"/>
          <w:sz w:val="24"/>
          <w:u w:val="single"/>
          <w:lang w:eastAsia="zh-CN"/>
        </w:rPr>
        <w:t>基坑支护工程监测</w:t>
      </w:r>
      <w:r>
        <w:rPr>
          <w:rFonts w:hint="eastAsia"/>
          <w:color w:val="000000"/>
          <w:sz w:val="24"/>
          <w:lang w:eastAsia="zh-CN"/>
        </w:rPr>
        <w:t>服务相关事宜，</w:t>
      </w:r>
      <w:r>
        <w:rPr>
          <w:rFonts w:hint="eastAsia" w:asciiTheme="minorEastAsia" w:hAnsiTheme="minorEastAsia" w:eastAsiaTheme="minorEastAsia"/>
          <w:sz w:val="24"/>
          <w:lang w:eastAsia="zh-CN"/>
        </w:rPr>
        <w:t>达成如下协议，并由双方共同恪守。</w:t>
      </w:r>
    </w:p>
    <w:p w14:paraId="3EF20B0C">
      <w:pPr>
        <w:spacing w:line="360" w:lineRule="auto"/>
        <w:rPr>
          <w:color w:val="000000"/>
          <w:sz w:val="24"/>
          <w:lang w:eastAsia="zh-CN"/>
        </w:rPr>
      </w:pPr>
      <w:r>
        <w:rPr>
          <w:rFonts w:hint="eastAsia"/>
          <w:color w:val="000000"/>
          <w:sz w:val="24"/>
          <w:lang w:eastAsia="zh-CN"/>
        </w:rPr>
        <w:t>一、委托服务项目：</w:t>
      </w:r>
    </w:p>
    <w:p w14:paraId="669E94A3">
      <w:pPr>
        <w:pStyle w:val="5"/>
        <w:spacing w:before="26"/>
        <w:ind w:right="121"/>
        <w:jc w:val="center"/>
        <w:rPr>
          <w:bCs/>
          <w:u w:val="single"/>
          <w:lang w:eastAsia="zh-CN"/>
        </w:rPr>
      </w:pPr>
      <w:r>
        <w:rPr>
          <w:rFonts w:hint="eastAsia"/>
          <w:color w:val="000000"/>
          <w:lang w:eastAsia="zh-CN"/>
        </w:rPr>
        <w:t>甲方委托乙方对</w:t>
      </w:r>
      <w:r>
        <w:rPr>
          <w:color w:val="000000"/>
          <w:u w:val="single"/>
          <w:lang w:eastAsia="zh-CN"/>
        </w:rPr>
        <w:t xml:space="preserve"> </w:t>
      </w:r>
      <w:r>
        <w:rPr>
          <w:rFonts w:hint="eastAsia"/>
          <w:color w:val="000000"/>
          <w:u w:val="single"/>
          <w:lang w:eastAsia="zh-CN"/>
        </w:rPr>
        <w:t>福建能化集团福化古雷</w:t>
      </w:r>
      <w:r>
        <w:rPr>
          <w:rFonts w:hint="eastAsia"/>
          <w:bCs/>
          <w:u w:val="single"/>
          <w:lang w:eastAsia="zh-CN"/>
        </w:rPr>
        <w:t>运营中心项目一期工程基坑支护工程</w:t>
      </w:r>
    </w:p>
    <w:p w14:paraId="6CB923C7">
      <w:pPr>
        <w:spacing w:line="360" w:lineRule="auto"/>
        <w:ind w:firstLine="480" w:firstLineChars="200"/>
        <w:rPr>
          <w:color w:val="000000"/>
          <w:sz w:val="24"/>
          <w:lang w:eastAsia="zh-CN"/>
        </w:rPr>
      </w:pPr>
      <w:r>
        <w:rPr>
          <w:rFonts w:hint="eastAsia"/>
          <w:color w:val="000000"/>
          <w:sz w:val="24"/>
          <w:szCs w:val="24"/>
          <w:u w:val="single"/>
          <w:lang w:eastAsia="zh-CN"/>
        </w:rPr>
        <w:t>监测  进行服务</w:t>
      </w:r>
      <w:r>
        <w:rPr>
          <w:rFonts w:hint="eastAsia"/>
          <w:color w:val="000000"/>
          <w:sz w:val="24"/>
          <w:lang w:eastAsia="zh-CN"/>
        </w:rPr>
        <w:t>。</w:t>
      </w:r>
    </w:p>
    <w:p w14:paraId="159E7F15">
      <w:pPr>
        <w:pStyle w:val="32"/>
        <w:spacing w:before="0" w:after="0" w:line="360" w:lineRule="auto"/>
        <w:jc w:val="left"/>
        <w:outlineLvl w:val="9"/>
        <w:rPr>
          <w:rFonts w:asciiTheme="majorEastAsia" w:hAnsiTheme="majorEastAsia" w:eastAsiaTheme="majorEastAsia"/>
          <w:b w:val="0"/>
          <w:sz w:val="24"/>
          <w:szCs w:val="24"/>
        </w:rPr>
      </w:pPr>
      <w:r>
        <w:rPr>
          <w:rFonts w:hint="eastAsia" w:asciiTheme="majorEastAsia" w:hAnsiTheme="majorEastAsia" w:eastAsiaTheme="majorEastAsia"/>
          <w:b w:val="0"/>
          <w:color w:val="000000"/>
          <w:sz w:val="24"/>
        </w:rPr>
        <w:t>二、</w:t>
      </w:r>
      <w:r>
        <w:rPr>
          <w:rFonts w:hint="eastAsia" w:asciiTheme="majorEastAsia" w:hAnsiTheme="majorEastAsia" w:eastAsiaTheme="majorEastAsia"/>
          <w:b w:val="0"/>
          <w:sz w:val="24"/>
          <w:szCs w:val="24"/>
        </w:rPr>
        <w:t>委托服务范围及内容：</w:t>
      </w:r>
    </w:p>
    <w:p w14:paraId="7C7E10C8">
      <w:pPr>
        <w:spacing w:line="360" w:lineRule="auto"/>
        <w:ind w:firstLine="480" w:firstLineChars="200"/>
        <w:rPr>
          <w:sz w:val="24"/>
          <w:lang w:eastAsia="zh-CN"/>
        </w:rPr>
      </w:pPr>
      <w:r>
        <w:rPr>
          <w:rFonts w:hint="eastAsia"/>
          <w:sz w:val="24"/>
          <w:lang w:eastAsia="zh-CN"/>
        </w:rPr>
        <w:t>为满足项目施工安全需要，乙方监测工作范围包括但不限于：水平位移监测、竖向沉降监测、深层位移(测斜管)、地下水位监测、周边建筑物竖向沉降监测。初步预计监测次数为：42次。具体详见附件发包说明</w:t>
      </w:r>
    </w:p>
    <w:p w14:paraId="0B56C5CA">
      <w:pPr>
        <w:spacing w:line="360" w:lineRule="auto"/>
        <w:rPr>
          <w:sz w:val="24"/>
          <w:lang w:eastAsia="zh-CN"/>
        </w:rPr>
      </w:pPr>
      <w:r>
        <w:rPr>
          <w:rFonts w:hint="eastAsia"/>
          <w:sz w:val="24"/>
          <w:lang w:eastAsia="zh-CN"/>
        </w:rPr>
        <w:t>三、甲方的权利义务：</w:t>
      </w:r>
    </w:p>
    <w:p w14:paraId="1AEE970C">
      <w:pPr>
        <w:spacing w:line="360" w:lineRule="auto"/>
        <w:ind w:firstLine="480" w:firstLineChars="200"/>
        <w:rPr>
          <w:sz w:val="24"/>
          <w:lang w:eastAsia="zh-CN"/>
        </w:rPr>
      </w:pPr>
      <w:r>
        <w:rPr>
          <w:rFonts w:hint="eastAsia"/>
          <w:sz w:val="24"/>
          <w:lang w:eastAsia="zh-CN"/>
        </w:rPr>
        <w:t>1、甲方有权监督乙方的服务工作。</w:t>
      </w:r>
    </w:p>
    <w:p w14:paraId="4E2577D5">
      <w:pPr>
        <w:spacing w:line="360" w:lineRule="auto"/>
        <w:rPr>
          <w:sz w:val="24"/>
          <w:lang w:eastAsia="zh-CN"/>
        </w:rPr>
      </w:pPr>
      <w:r>
        <w:rPr>
          <w:rFonts w:hint="eastAsia"/>
          <w:sz w:val="24"/>
          <w:lang w:eastAsia="zh-CN"/>
        </w:rPr>
        <w:t xml:space="preserve">    2、甲方根据乙方工作需要配合服务工作，并提供人员协助及相关资料。</w:t>
      </w:r>
    </w:p>
    <w:p w14:paraId="0E73035E">
      <w:pPr>
        <w:spacing w:line="360" w:lineRule="auto"/>
        <w:rPr>
          <w:sz w:val="24"/>
          <w:lang w:eastAsia="zh-CN"/>
        </w:rPr>
      </w:pPr>
      <w:r>
        <w:rPr>
          <w:rFonts w:hint="eastAsia"/>
          <w:sz w:val="24"/>
          <w:lang w:eastAsia="zh-CN"/>
        </w:rPr>
        <w:t xml:space="preserve">    3、按约定支付服务费用。</w:t>
      </w:r>
    </w:p>
    <w:p w14:paraId="6D54F095">
      <w:pPr>
        <w:spacing w:line="360" w:lineRule="auto"/>
        <w:rPr>
          <w:sz w:val="24"/>
          <w:lang w:eastAsia="zh-CN"/>
        </w:rPr>
      </w:pPr>
      <w:r>
        <w:rPr>
          <w:rFonts w:hint="eastAsia"/>
          <w:sz w:val="24"/>
          <w:lang w:eastAsia="zh-CN"/>
        </w:rPr>
        <w:t>四、乙方的权利义务：</w:t>
      </w:r>
    </w:p>
    <w:p w14:paraId="6E9E703F">
      <w:pPr>
        <w:pStyle w:val="4"/>
        <w:adjustRightInd/>
        <w:spacing w:line="360" w:lineRule="auto"/>
        <w:ind w:firstLine="480" w:firstLineChars="200"/>
      </w:pPr>
      <w:r>
        <w:t>1、</w:t>
      </w:r>
      <w:r>
        <w:rPr>
          <w:rFonts w:hint="eastAsia"/>
        </w:rPr>
        <w:t>代理甲方进行</w:t>
      </w:r>
      <w:r>
        <w:t>本工程项目的</w:t>
      </w:r>
      <w:r>
        <w:rPr>
          <w:rFonts w:hint="eastAsia"/>
        </w:rPr>
        <w:t>基坑支护工程监测</w:t>
      </w:r>
      <w:r>
        <w:t>。</w:t>
      </w:r>
    </w:p>
    <w:p w14:paraId="4F452549">
      <w:pPr>
        <w:pStyle w:val="4"/>
        <w:adjustRightInd/>
        <w:spacing w:line="360" w:lineRule="auto"/>
        <w:ind w:firstLine="480" w:firstLineChars="200"/>
      </w:pPr>
      <w:r>
        <w:t>2、</w:t>
      </w:r>
      <w:r>
        <w:rPr>
          <w:rFonts w:hint="eastAsia" w:ascii="宋体" w:hAnsi="宋体"/>
        </w:rPr>
        <w:t>全部成果以报告书及相关图件方式提交甲方使用</w:t>
      </w:r>
      <w:r>
        <w:t>。</w:t>
      </w:r>
    </w:p>
    <w:p w14:paraId="2AB439DD">
      <w:pPr>
        <w:spacing w:line="360" w:lineRule="auto"/>
        <w:ind w:firstLine="480" w:firstLineChars="200"/>
        <w:rPr>
          <w:sz w:val="24"/>
          <w:lang w:eastAsia="zh-CN"/>
        </w:rPr>
      </w:pPr>
      <w:r>
        <w:rPr>
          <w:rFonts w:hint="eastAsia"/>
          <w:sz w:val="24"/>
          <w:lang w:eastAsia="zh-CN"/>
        </w:rPr>
        <w:t>3、报告内容需维护甲方的利益，并满足甲方合理的审定要求，任何因编制的报告导致甲方其他配套建设费用增加的，甲方有权拒绝支付本报告编制和服务费用。</w:t>
      </w:r>
    </w:p>
    <w:p w14:paraId="5F1C8CAE">
      <w:pPr>
        <w:spacing w:line="360" w:lineRule="auto"/>
        <w:ind w:firstLine="480" w:firstLineChars="200"/>
        <w:rPr>
          <w:sz w:val="24"/>
          <w:lang w:eastAsia="zh-CN"/>
        </w:rPr>
      </w:pPr>
      <w:r>
        <w:rPr>
          <w:rFonts w:hint="eastAsia"/>
          <w:sz w:val="24"/>
          <w:lang w:eastAsia="zh-CN"/>
        </w:rPr>
        <w:t>4、对服务中知悉的甲方的商业、技术、经营管理等保密信息承担保密责任。</w:t>
      </w:r>
    </w:p>
    <w:p w14:paraId="654DCE4B">
      <w:pPr>
        <w:spacing w:line="360" w:lineRule="auto"/>
        <w:rPr>
          <w:color w:val="000000"/>
          <w:sz w:val="24"/>
          <w:lang w:eastAsia="zh-CN"/>
        </w:rPr>
      </w:pPr>
      <w:r>
        <w:rPr>
          <w:rFonts w:hint="eastAsia"/>
          <w:sz w:val="24"/>
          <w:lang w:eastAsia="zh-CN"/>
        </w:rPr>
        <w:t>五、收费标准：</w:t>
      </w:r>
      <w:r>
        <w:rPr>
          <w:rFonts w:hint="eastAsia"/>
          <w:sz w:val="24"/>
          <w:lang w:eastAsia="zh-CN"/>
        </w:rPr>
        <w:br w:type="textWrapping"/>
      </w:r>
      <w:r>
        <w:rPr>
          <w:rFonts w:hint="eastAsia"/>
          <w:sz w:val="24"/>
          <w:lang w:eastAsia="zh-CN"/>
        </w:rPr>
        <w:t>　  本次服务费为</w:t>
      </w:r>
      <w:r>
        <w:rPr>
          <w:sz w:val="24"/>
          <w:u w:val="single"/>
          <w:lang w:eastAsia="zh-CN"/>
        </w:rPr>
        <w:t xml:space="preserve"> </w:t>
      </w:r>
      <w:r>
        <w:rPr>
          <w:rFonts w:hint="eastAsia"/>
          <w:sz w:val="24"/>
          <w:u w:val="single"/>
          <w:lang w:eastAsia="zh-CN"/>
        </w:rPr>
        <w:t xml:space="preserve">      </w:t>
      </w:r>
      <w:r>
        <w:rPr>
          <w:rFonts w:hint="eastAsia"/>
          <w:sz w:val="24"/>
          <w:lang w:eastAsia="zh-CN"/>
        </w:rPr>
        <w:t xml:space="preserve"> 元整（</w:t>
      </w:r>
      <w:r>
        <w:rPr>
          <w:rFonts w:hint="eastAsia"/>
          <w:sz w:val="24"/>
          <w:u w:val="single"/>
          <w:lang w:eastAsia="zh-CN"/>
        </w:rPr>
        <w:t xml:space="preserve">￥     </w:t>
      </w:r>
      <w:r>
        <w:rPr>
          <w:rFonts w:hint="eastAsia"/>
          <w:color w:val="000000"/>
          <w:sz w:val="24"/>
          <w:lang w:eastAsia="zh-CN"/>
        </w:rPr>
        <w:t>元），含税价，税率</w:t>
      </w:r>
      <w:r>
        <w:rPr>
          <w:rFonts w:hint="eastAsia"/>
          <w:color w:val="000000"/>
          <w:sz w:val="24"/>
          <w:u w:val="single"/>
          <w:lang w:eastAsia="zh-CN"/>
        </w:rPr>
        <w:t xml:space="preserve">     %</w:t>
      </w:r>
      <w:r>
        <w:rPr>
          <w:rFonts w:hint="eastAsia"/>
          <w:color w:val="000000"/>
          <w:sz w:val="24"/>
          <w:lang w:eastAsia="zh-CN"/>
        </w:rPr>
        <w:t>。</w:t>
      </w:r>
    </w:p>
    <w:p w14:paraId="74F00057">
      <w:pPr>
        <w:pStyle w:val="17"/>
        <w:widowControl/>
        <w:spacing w:line="360" w:lineRule="auto"/>
        <w:ind w:firstLine="480" w:firstLineChars="200"/>
        <w:rPr>
          <w:rFonts w:hAnsi="宋体" w:cs="宋体"/>
          <w:sz w:val="24"/>
        </w:rPr>
      </w:pPr>
      <w:r>
        <w:rPr>
          <w:rFonts w:hint="eastAsia" w:hAnsi="宋体" w:cs="宋体"/>
          <w:sz w:val="24"/>
        </w:rPr>
        <w:t>参选保证金2000元（无息），将在合同签订后自动转为履约保证金，若乙方在合同履行过程中不存在任何违约情况，合同履行完毕后15个工作日内，甲方无息退还履约保证金。</w:t>
      </w:r>
    </w:p>
    <w:p w14:paraId="3649F56E">
      <w:pPr>
        <w:pStyle w:val="33"/>
        <w:spacing w:line="360" w:lineRule="auto"/>
        <w:jc w:val="left"/>
        <w:rPr>
          <w:sz w:val="24"/>
        </w:rPr>
      </w:pPr>
      <w:r>
        <w:rPr>
          <w:rFonts w:hint="eastAsia"/>
          <w:color w:val="000000"/>
          <w:sz w:val="24"/>
        </w:rPr>
        <w:t>六、 服务</w:t>
      </w:r>
      <w:r>
        <w:rPr>
          <w:rFonts w:hint="eastAsia"/>
          <w:sz w:val="24"/>
        </w:rPr>
        <w:t>期限及要求：</w:t>
      </w:r>
    </w:p>
    <w:p w14:paraId="4E593F1F">
      <w:pPr>
        <w:spacing w:line="360" w:lineRule="auto"/>
        <w:ind w:firstLine="480" w:firstLineChars="200"/>
        <w:rPr>
          <w:sz w:val="24"/>
          <w:lang w:eastAsia="zh-CN"/>
        </w:rPr>
      </w:pPr>
      <w:r>
        <w:rPr>
          <w:rFonts w:hint="eastAsia"/>
          <w:sz w:val="24"/>
          <w:lang w:eastAsia="zh-CN"/>
        </w:rPr>
        <w:t>1、合同签订之日起至福建能化集团福化古雷运营中心项目一期工程基坑回填结束止。</w:t>
      </w:r>
    </w:p>
    <w:p w14:paraId="50D77103">
      <w:pPr>
        <w:spacing w:line="360" w:lineRule="auto"/>
        <w:ind w:firstLine="480" w:firstLineChars="200"/>
        <w:rPr>
          <w:sz w:val="24"/>
          <w:lang w:eastAsia="zh-CN"/>
        </w:rPr>
      </w:pPr>
      <w:r>
        <w:rPr>
          <w:rFonts w:hint="eastAsia"/>
          <w:sz w:val="24"/>
          <w:lang w:eastAsia="zh-CN"/>
        </w:rPr>
        <w:t xml:space="preserve">2、提交工作成果的形式：全部成果以报告书及相关图件方式提交甲方使用，提交成果报告一式六份和光盘壹份（含技术报告为word等可编辑格式）。  </w:t>
      </w:r>
    </w:p>
    <w:p w14:paraId="74175761">
      <w:pPr>
        <w:spacing w:line="360" w:lineRule="auto"/>
        <w:ind w:firstLine="480" w:firstLineChars="200"/>
        <w:rPr>
          <w:sz w:val="24"/>
          <w:lang w:eastAsia="zh-CN"/>
        </w:rPr>
      </w:pPr>
      <w:r>
        <w:rPr>
          <w:rFonts w:hint="eastAsia"/>
          <w:sz w:val="24"/>
          <w:lang w:eastAsia="zh-CN"/>
        </w:rPr>
        <w:t>3、监测工作成果的验收方法:按国家相关规程、规范和规定要求，各参建方进行基坑支护工程验收合格。</w:t>
      </w:r>
    </w:p>
    <w:p w14:paraId="3E801588">
      <w:pPr>
        <w:spacing w:line="360" w:lineRule="auto"/>
        <w:rPr>
          <w:rStyle w:val="25"/>
          <w:sz w:val="24"/>
          <w:lang w:eastAsia="zh-CN"/>
        </w:rPr>
      </w:pPr>
      <w:r>
        <w:rPr>
          <w:rFonts w:hint="eastAsia"/>
          <w:sz w:val="24"/>
          <w:lang w:eastAsia="zh-CN"/>
        </w:rPr>
        <w:t>七、付款方式：无预付款，</w:t>
      </w:r>
      <w:r>
        <w:rPr>
          <w:rStyle w:val="38"/>
          <w:rFonts w:hint="eastAsia"/>
          <w:sz w:val="24"/>
          <w:szCs w:val="24"/>
          <w:lang w:eastAsia="zh-CN"/>
        </w:rPr>
        <w:t>合同签订后5日历天内，乙方组织进场开展监测服务，基坑回填完毕及报告全部提交并符合要求，</w:t>
      </w:r>
      <w:r>
        <w:rPr>
          <w:rFonts w:hint="eastAsia"/>
          <w:sz w:val="24"/>
          <w:lang w:eastAsia="zh-CN"/>
        </w:rPr>
        <w:t>收到乙方提供的全额增值税专用发票</w:t>
      </w:r>
      <w:r>
        <w:rPr>
          <w:rStyle w:val="38"/>
          <w:rFonts w:hint="eastAsia"/>
          <w:sz w:val="24"/>
          <w:szCs w:val="24"/>
          <w:lang w:eastAsia="zh-CN"/>
        </w:rPr>
        <w:t>后</w:t>
      </w:r>
      <w:r>
        <w:rPr>
          <w:rFonts w:hint="eastAsia"/>
          <w:sz w:val="24"/>
          <w:lang w:eastAsia="zh-CN"/>
        </w:rPr>
        <w:t>，甲方在</w:t>
      </w:r>
      <w:r>
        <w:rPr>
          <w:rFonts w:hint="eastAsia"/>
          <w:sz w:val="24"/>
          <w:u w:val="single"/>
          <w:lang w:eastAsia="zh-CN"/>
        </w:rPr>
        <w:t>60日</w:t>
      </w:r>
      <w:r>
        <w:rPr>
          <w:rFonts w:hint="eastAsia"/>
          <w:sz w:val="24"/>
          <w:lang w:eastAsia="zh-CN"/>
        </w:rPr>
        <w:t>内</w:t>
      </w:r>
      <w:r>
        <w:rPr>
          <w:rStyle w:val="38"/>
          <w:rFonts w:hint="eastAsia"/>
          <w:sz w:val="24"/>
          <w:szCs w:val="24"/>
          <w:lang w:eastAsia="zh-CN"/>
        </w:rPr>
        <w:t>支付合同总价款的100%。</w:t>
      </w:r>
    </w:p>
    <w:p w14:paraId="52C6CE75">
      <w:pPr>
        <w:pStyle w:val="7"/>
        <w:spacing w:line="360" w:lineRule="auto"/>
        <w:ind w:firstLine="480" w:firstLineChars="200"/>
        <w:rPr>
          <w:rFonts w:hAnsi="宋体"/>
          <w:sz w:val="24"/>
          <w:szCs w:val="24"/>
          <w:lang w:eastAsia="zh-CN"/>
        </w:rPr>
      </w:pPr>
      <w:r>
        <w:rPr>
          <w:rFonts w:hint="eastAsia" w:hAnsi="宋体"/>
          <w:sz w:val="24"/>
          <w:szCs w:val="24"/>
          <w:lang w:eastAsia="zh-CN"/>
        </w:rPr>
        <w:t>公司名称：</w:t>
      </w:r>
      <w:r>
        <w:rPr>
          <w:rFonts w:hint="eastAsia"/>
          <w:sz w:val="24"/>
          <w:szCs w:val="24"/>
          <w:u w:val="single"/>
          <w:lang w:eastAsia="zh-CN"/>
        </w:rPr>
        <w:t xml:space="preserve">             </w:t>
      </w:r>
      <w:r>
        <w:rPr>
          <w:sz w:val="24"/>
          <w:szCs w:val="24"/>
          <w:u w:val="single"/>
          <w:lang w:eastAsia="zh-CN"/>
        </w:rPr>
        <w:t xml:space="preserve"> </w:t>
      </w:r>
    </w:p>
    <w:p w14:paraId="2FEB465B">
      <w:pPr>
        <w:pStyle w:val="7"/>
        <w:spacing w:line="360" w:lineRule="auto"/>
        <w:ind w:firstLine="480" w:firstLineChars="200"/>
        <w:rPr>
          <w:rFonts w:hAnsi="宋体"/>
          <w:sz w:val="24"/>
          <w:szCs w:val="24"/>
          <w:lang w:eastAsia="zh-CN"/>
        </w:rPr>
      </w:pPr>
      <w:r>
        <w:rPr>
          <w:rFonts w:hint="eastAsia" w:hAnsi="宋体"/>
          <w:sz w:val="24"/>
          <w:szCs w:val="24"/>
          <w:lang w:eastAsia="zh-CN"/>
        </w:rPr>
        <w:t>开户银行：</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14:paraId="6FF6E174">
      <w:pPr>
        <w:spacing w:line="360" w:lineRule="auto"/>
        <w:ind w:left="440" w:leftChars="200"/>
        <w:rPr>
          <w:sz w:val="24"/>
          <w:u w:val="single"/>
          <w:lang w:eastAsia="zh-CN"/>
        </w:rPr>
      </w:pPr>
      <w:r>
        <w:rPr>
          <w:rFonts w:hint="eastAsia"/>
          <w:sz w:val="24"/>
          <w:lang w:eastAsia="zh-CN"/>
        </w:rPr>
        <w:t>账号：</w:t>
      </w:r>
      <w:r>
        <w:rPr>
          <w:rFonts w:hint="eastAsia"/>
          <w:sz w:val="24"/>
          <w:u w:val="single"/>
          <w:lang w:eastAsia="zh-CN"/>
        </w:rPr>
        <w:t xml:space="preserve">               </w:t>
      </w:r>
    </w:p>
    <w:p w14:paraId="6D341B85">
      <w:pPr>
        <w:spacing w:line="360" w:lineRule="auto"/>
        <w:ind w:left="440" w:leftChars="200"/>
        <w:rPr>
          <w:sz w:val="24"/>
          <w:u w:val="single"/>
          <w:lang w:eastAsia="zh-CN"/>
        </w:rPr>
      </w:pPr>
      <w:r>
        <w:rPr>
          <w:rFonts w:hint="eastAsia"/>
          <w:sz w:val="24"/>
          <w:lang w:eastAsia="zh-CN"/>
        </w:rPr>
        <w:t>纳税人识别号：</w:t>
      </w:r>
      <w:r>
        <w:rPr>
          <w:rFonts w:hint="eastAsia"/>
          <w:sz w:val="24"/>
          <w:u w:val="single"/>
          <w:lang w:eastAsia="zh-CN"/>
        </w:rPr>
        <w:t xml:space="preserve">            </w:t>
      </w:r>
      <w:r>
        <w:rPr>
          <w:sz w:val="24"/>
          <w:u w:val="single"/>
          <w:lang w:eastAsia="zh-CN"/>
        </w:rPr>
        <w:t xml:space="preserve"> </w:t>
      </w:r>
    </w:p>
    <w:p w14:paraId="0310AB3E">
      <w:pPr>
        <w:spacing w:line="360" w:lineRule="auto"/>
        <w:ind w:left="440" w:leftChars="200"/>
        <w:rPr>
          <w:color w:val="000000"/>
          <w:sz w:val="24"/>
          <w:lang w:eastAsia="zh-CN"/>
        </w:rPr>
      </w:pPr>
      <w:r>
        <w:rPr>
          <w:rFonts w:hint="eastAsia"/>
          <w:sz w:val="24"/>
          <w:lang w:eastAsia="zh-CN"/>
        </w:rPr>
        <w:t>乙方应在甲方付款前</w:t>
      </w:r>
      <w:r>
        <w:rPr>
          <w:rFonts w:hint="eastAsia"/>
          <w:sz w:val="24"/>
          <w:u w:val="single"/>
          <w:lang w:eastAsia="zh-CN"/>
        </w:rPr>
        <w:t>60日</w:t>
      </w:r>
      <w:r>
        <w:rPr>
          <w:rFonts w:hint="eastAsia"/>
          <w:sz w:val="24"/>
          <w:lang w:eastAsia="zh-CN"/>
        </w:rPr>
        <w:t>内</w:t>
      </w:r>
      <w:r>
        <w:rPr>
          <w:rFonts w:hint="eastAsia"/>
          <w:color w:val="000000"/>
          <w:sz w:val="24"/>
          <w:lang w:eastAsia="zh-CN"/>
        </w:rPr>
        <w:t>提供</w:t>
      </w:r>
      <w:r>
        <w:rPr>
          <w:rFonts w:hint="eastAsia"/>
          <w:color w:val="000000"/>
          <w:sz w:val="24"/>
          <w:u w:val="single"/>
          <w:lang w:eastAsia="zh-CN"/>
        </w:rPr>
        <w:t xml:space="preserve"> </w:t>
      </w:r>
      <w:r>
        <w:rPr>
          <w:color w:val="000000"/>
          <w:sz w:val="24"/>
          <w:u w:val="single"/>
          <w:lang w:eastAsia="zh-CN"/>
        </w:rPr>
        <w:t xml:space="preserve"> </w:t>
      </w:r>
      <w:r>
        <w:rPr>
          <w:rFonts w:hint="eastAsia"/>
          <w:color w:val="000000"/>
          <w:sz w:val="24"/>
          <w:u w:val="single"/>
          <w:lang w:eastAsia="zh-CN"/>
        </w:rPr>
        <w:t xml:space="preserve"> %</w:t>
      </w:r>
      <w:r>
        <w:rPr>
          <w:rFonts w:hint="eastAsia"/>
          <w:color w:val="000000"/>
          <w:sz w:val="24"/>
          <w:lang w:eastAsia="zh-CN"/>
        </w:rPr>
        <w:t>增值税专用发票，否则甲方有权顺延付款。</w:t>
      </w:r>
    </w:p>
    <w:p w14:paraId="3186089F">
      <w:pPr>
        <w:spacing w:line="360" w:lineRule="auto"/>
        <w:rPr>
          <w:rStyle w:val="25"/>
          <w:color w:val="000000"/>
          <w:sz w:val="24"/>
          <w:lang w:eastAsia="zh-CN"/>
        </w:rPr>
      </w:pPr>
      <w:r>
        <w:rPr>
          <w:rFonts w:hint="eastAsia"/>
          <w:color w:val="000000"/>
          <w:sz w:val="24"/>
          <w:lang w:eastAsia="zh-CN"/>
        </w:rPr>
        <w:t>八、违约责任：</w:t>
      </w:r>
    </w:p>
    <w:p w14:paraId="7E057DD9">
      <w:pPr>
        <w:spacing w:line="400" w:lineRule="exact"/>
        <w:ind w:firstLine="480" w:firstLineChars="200"/>
        <w:rPr>
          <w:rStyle w:val="25"/>
          <w:rFonts w:ascii="Times New Roman" w:hAnsi="Times New Roman" w:cs="Times New Roman"/>
          <w:color w:val="000000"/>
          <w:sz w:val="24"/>
          <w:lang w:eastAsia="zh-CN"/>
        </w:rPr>
      </w:pPr>
      <w:r>
        <w:rPr>
          <w:rStyle w:val="25"/>
          <w:rFonts w:hint="eastAsia"/>
          <w:color w:val="000000"/>
          <w:sz w:val="24"/>
          <w:lang w:eastAsia="zh-CN"/>
        </w:rPr>
        <w:t>1、乙方逾期提交报告的，每日应向甲方支付违约金人民币</w:t>
      </w:r>
      <w:r>
        <w:rPr>
          <w:color w:val="000000"/>
          <w:sz w:val="24"/>
          <w:u w:val="single"/>
          <w:lang w:eastAsia="zh-CN"/>
        </w:rPr>
        <w:t xml:space="preserve"> </w:t>
      </w:r>
      <w:r>
        <w:rPr>
          <w:rFonts w:hint="eastAsia"/>
          <w:color w:val="000000"/>
          <w:sz w:val="24"/>
          <w:u w:val="single"/>
          <w:lang w:eastAsia="zh-CN"/>
        </w:rPr>
        <w:t>1000</w:t>
      </w:r>
      <w:r>
        <w:rPr>
          <w:color w:val="000000"/>
          <w:sz w:val="24"/>
          <w:u w:val="single"/>
          <w:lang w:eastAsia="zh-CN"/>
        </w:rPr>
        <w:t xml:space="preserve">  </w:t>
      </w:r>
      <w:r>
        <w:rPr>
          <w:rStyle w:val="25"/>
          <w:rFonts w:hint="eastAsia"/>
          <w:color w:val="000000"/>
          <w:sz w:val="24"/>
          <w:lang w:eastAsia="zh-CN"/>
        </w:rPr>
        <w:t>元，逾期超过</w:t>
      </w:r>
      <w:r>
        <w:rPr>
          <w:rStyle w:val="25"/>
          <w:color w:val="000000"/>
          <w:sz w:val="24"/>
          <w:u w:val="single"/>
          <w:lang w:eastAsia="zh-CN"/>
        </w:rPr>
        <w:t>2</w:t>
      </w:r>
      <w:r>
        <w:rPr>
          <w:rStyle w:val="25"/>
          <w:rFonts w:hint="eastAsia"/>
          <w:color w:val="000000"/>
          <w:sz w:val="24"/>
          <w:u w:val="single"/>
          <w:lang w:eastAsia="zh-CN"/>
        </w:rPr>
        <w:t>0</w:t>
      </w:r>
      <w:r>
        <w:rPr>
          <w:color w:val="000000"/>
          <w:sz w:val="24"/>
          <w:u w:val="single"/>
          <w:lang w:eastAsia="zh-CN"/>
        </w:rPr>
        <w:t xml:space="preserve"> </w:t>
      </w:r>
      <w:r>
        <w:rPr>
          <w:rStyle w:val="25"/>
          <w:rFonts w:hint="eastAsia"/>
          <w:color w:val="000000"/>
          <w:sz w:val="24"/>
          <w:lang w:eastAsia="zh-CN"/>
        </w:rPr>
        <w:t>日的，甲方还有权解除本合同并要求乙方退还已经收取的费用</w:t>
      </w:r>
      <w:r>
        <w:rPr>
          <w:rStyle w:val="25"/>
          <w:rFonts w:hint="eastAsia" w:ascii="Times New Roman" w:hAnsi="Times New Roman" w:cs="Times New Roman"/>
          <w:color w:val="000000"/>
          <w:sz w:val="24"/>
          <w:lang w:eastAsia="zh-CN"/>
        </w:rPr>
        <w:t>，乙方应按照合同总价20%向甲方支付违约金，违约金不足以弥补甲方损失的，甲方有权追偿。</w:t>
      </w:r>
    </w:p>
    <w:p w14:paraId="33B9E69E">
      <w:pPr>
        <w:pStyle w:val="7"/>
        <w:spacing w:line="400" w:lineRule="exact"/>
        <w:ind w:firstLine="440" w:firstLineChars="200"/>
        <w:rPr>
          <w:rStyle w:val="25"/>
          <w:color w:val="000000"/>
          <w:sz w:val="24"/>
          <w:lang w:eastAsia="zh-CN"/>
        </w:rPr>
      </w:pPr>
      <w:r>
        <w:rPr>
          <w:rStyle w:val="25"/>
          <w:rFonts w:hint="eastAsia"/>
          <w:color w:val="000000"/>
          <w:lang w:eastAsia="zh-CN"/>
        </w:rPr>
        <w:t>2．</w:t>
      </w:r>
      <w:r>
        <w:rPr>
          <w:rStyle w:val="25"/>
          <w:rFonts w:hint="eastAsia" w:ascii="Times New Roman" w:hAnsi="Times New Roman" w:cs="Times New Roman"/>
          <w:color w:val="000000"/>
          <w:sz w:val="24"/>
          <w:szCs w:val="22"/>
          <w:lang w:eastAsia="zh-CN"/>
        </w:rPr>
        <w:t>乙方提交的报告不符合合同约定的，应在甲方指定期限内修改完善直至符合合同约定为止，</w:t>
      </w:r>
      <w:r>
        <w:rPr>
          <w:rStyle w:val="25"/>
          <w:rFonts w:hint="eastAsia" w:ascii="Times New Roman" w:hAnsi="Times New Roman" w:cs="Times New Roman"/>
          <w:b/>
          <w:bCs/>
          <w:color w:val="000000"/>
          <w:sz w:val="24"/>
          <w:szCs w:val="22"/>
          <w:lang w:eastAsia="zh-CN"/>
        </w:rPr>
        <w:t>由此造成逾期提交的，按照第1款约定执行。</w:t>
      </w:r>
    </w:p>
    <w:p w14:paraId="7DD10DBE">
      <w:pPr>
        <w:spacing w:line="360" w:lineRule="auto"/>
        <w:ind w:firstLine="480" w:firstLineChars="200"/>
        <w:rPr>
          <w:rStyle w:val="25"/>
          <w:sz w:val="24"/>
          <w:lang w:eastAsia="zh-CN"/>
        </w:rPr>
      </w:pPr>
      <w:r>
        <w:rPr>
          <w:rStyle w:val="25"/>
          <w:rFonts w:hint="eastAsia"/>
          <w:sz w:val="24"/>
          <w:lang w:eastAsia="zh-CN"/>
        </w:rPr>
        <w:t>3、</w:t>
      </w:r>
      <w:r>
        <w:rPr>
          <w:rFonts w:hint="eastAsia"/>
          <w:sz w:val="24"/>
          <w:szCs w:val="24"/>
          <w:lang w:eastAsia="zh-CN"/>
        </w:rPr>
        <w:t>如甲方逾期付款，应按全国银行间同业拆借中心公布的贷款市场报价利率向乙方支付利息</w:t>
      </w:r>
      <w:r>
        <w:rPr>
          <w:rFonts w:hint="eastAsia"/>
          <w:sz w:val="24"/>
          <w:lang w:eastAsia="zh-CN"/>
        </w:rPr>
        <w:t>。</w:t>
      </w:r>
    </w:p>
    <w:p w14:paraId="580923C3">
      <w:pPr>
        <w:spacing w:line="360" w:lineRule="auto"/>
        <w:ind w:firstLine="480" w:firstLineChars="200"/>
        <w:rPr>
          <w:rStyle w:val="25"/>
          <w:sz w:val="24"/>
          <w:lang w:eastAsia="zh-CN"/>
        </w:rPr>
      </w:pPr>
      <w:r>
        <w:rPr>
          <w:rStyle w:val="25"/>
          <w:rFonts w:hint="eastAsia"/>
          <w:sz w:val="24"/>
          <w:lang w:eastAsia="zh-CN"/>
        </w:rPr>
        <w:t>4、乙方违反保密义务，应向甲方支付违约金</w:t>
      </w:r>
      <w:r>
        <w:rPr>
          <w:sz w:val="24"/>
          <w:u w:val="single"/>
          <w:lang w:eastAsia="zh-CN"/>
        </w:rPr>
        <w:t xml:space="preserve"> </w:t>
      </w:r>
      <w:r>
        <w:rPr>
          <w:rFonts w:hint="eastAsia"/>
          <w:sz w:val="24"/>
          <w:u w:val="single"/>
          <w:lang w:eastAsia="zh-CN"/>
        </w:rPr>
        <w:t>10000</w:t>
      </w:r>
      <w:r>
        <w:rPr>
          <w:sz w:val="24"/>
          <w:u w:val="single"/>
          <w:lang w:eastAsia="zh-CN"/>
        </w:rPr>
        <w:t xml:space="preserve"> </w:t>
      </w:r>
      <w:r>
        <w:rPr>
          <w:rStyle w:val="25"/>
          <w:rFonts w:hint="eastAsia"/>
          <w:sz w:val="24"/>
          <w:lang w:eastAsia="zh-CN"/>
        </w:rPr>
        <w:t>元，并赔偿由此给甲方造成的损失。</w:t>
      </w:r>
    </w:p>
    <w:p w14:paraId="71ADE5D9">
      <w:pPr>
        <w:spacing w:line="360" w:lineRule="auto"/>
        <w:rPr>
          <w:color w:val="000000"/>
          <w:sz w:val="24"/>
          <w:lang w:eastAsia="zh-CN"/>
        </w:rPr>
      </w:pPr>
      <w:r>
        <w:rPr>
          <w:rFonts w:hint="eastAsia"/>
          <w:color w:val="000000"/>
          <w:sz w:val="24"/>
          <w:lang w:eastAsia="zh-CN"/>
        </w:rPr>
        <w:t xml:space="preserve">九、其他约定： </w:t>
      </w:r>
    </w:p>
    <w:p w14:paraId="3757B942">
      <w:pPr>
        <w:spacing w:line="360" w:lineRule="auto"/>
        <w:ind w:firstLine="480" w:firstLineChars="200"/>
        <w:rPr>
          <w:rStyle w:val="25"/>
          <w:color w:val="000000"/>
          <w:sz w:val="24"/>
          <w:lang w:eastAsia="zh-CN"/>
        </w:rPr>
      </w:pPr>
      <w:r>
        <w:rPr>
          <w:rStyle w:val="25"/>
          <w:rFonts w:hint="eastAsia"/>
          <w:color w:val="000000"/>
          <w:sz w:val="24"/>
          <w:lang w:eastAsia="zh-CN"/>
        </w:rPr>
        <w:t>1、在服务结果的实际运用中，如有证据证明乙方存在弄虚作假等违反本合同约定的情形，甲方仍有权要求乙方承担由此造成的损失和法律后果。</w:t>
      </w:r>
    </w:p>
    <w:p w14:paraId="3B6AE388">
      <w:pPr>
        <w:spacing w:line="360" w:lineRule="auto"/>
        <w:ind w:firstLine="480" w:firstLineChars="200"/>
        <w:rPr>
          <w:rStyle w:val="25"/>
          <w:color w:val="000000"/>
          <w:sz w:val="24"/>
          <w:lang w:eastAsia="zh-CN"/>
        </w:rPr>
      </w:pPr>
      <w:r>
        <w:rPr>
          <w:rStyle w:val="25"/>
          <w:rFonts w:hint="eastAsia"/>
          <w:color w:val="000000"/>
          <w:sz w:val="24"/>
          <w:lang w:eastAsia="zh-CN"/>
        </w:rPr>
        <w:t>2、双方重要文件往来应当以书面形式进行，由双方联系人（或双方另行书面指定的人员）当场签收或者以特快专递方式送达。如以特快专递方式送达至本合同所列地址，自特快专递寄出之日起算第</w:t>
      </w:r>
      <w:r>
        <w:rPr>
          <w:rStyle w:val="25"/>
          <w:rFonts w:hint="eastAsia"/>
          <w:color w:val="000000"/>
          <w:sz w:val="24"/>
          <w:u w:val="single"/>
          <w:lang w:eastAsia="zh-CN"/>
        </w:rPr>
        <w:t>5</w:t>
      </w:r>
      <w:r>
        <w:rPr>
          <w:rStyle w:val="25"/>
          <w:rFonts w:hint="eastAsia"/>
          <w:color w:val="000000"/>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0EA7A7FC">
      <w:pPr>
        <w:spacing w:line="360" w:lineRule="auto"/>
        <w:ind w:firstLine="480" w:firstLineChars="200"/>
        <w:rPr>
          <w:rStyle w:val="25"/>
          <w:color w:val="000000"/>
          <w:sz w:val="24"/>
          <w:lang w:eastAsia="zh-CN"/>
        </w:rPr>
      </w:pPr>
      <w:r>
        <w:rPr>
          <w:rStyle w:val="25"/>
          <w:rFonts w:hint="eastAsia"/>
          <w:color w:val="000000"/>
          <w:sz w:val="24"/>
          <w:lang w:eastAsia="zh-CN"/>
        </w:rPr>
        <w:t>3、乙方在甲方现场提供服务时应遵守甲方相关管理规定。服务过程中的安全责任由乙方自行承担。</w:t>
      </w:r>
    </w:p>
    <w:p w14:paraId="50E41E47">
      <w:pPr>
        <w:spacing w:line="360" w:lineRule="auto"/>
        <w:ind w:firstLine="480" w:firstLineChars="200"/>
        <w:rPr>
          <w:rStyle w:val="25"/>
          <w:sz w:val="24"/>
          <w:lang w:eastAsia="zh-CN"/>
        </w:rPr>
      </w:pPr>
      <w:r>
        <w:rPr>
          <w:rStyle w:val="25"/>
          <w:rFonts w:hint="eastAsia"/>
          <w:color w:val="000000"/>
          <w:sz w:val="24"/>
          <w:lang w:eastAsia="zh-CN"/>
        </w:rPr>
        <w:t>4、双方之间如因本合同的履行发生纠纷，可协商解决，也可直接向甲方所在地人民法院提起诉讼。</w:t>
      </w:r>
    </w:p>
    <w:p w14:paraId="5A6A5851">
      <w:pPr>
        <w:spacing w:line="360" w:lineRule="auto"/>
        <w:rPr>
          <w:color w:val="000000"/>
          <w:sz w:val="24"/>
          <w:lang w:eastAsia="zh-CN"/>
        </w:rPr>
      </w:pPr>
      <w:r>
        <w:rPr>
          <w:rFonts w:hint="eastAsia"/>
          <w:color w:val="000000"/>
          <w:sz w:val="24"/>
          <w:lang w:eastAsia="zh-CN"/>
        </w:rPr>
        <w:t>十、本合同一式</w:t>
      </w:r>
      <w:r>
        <w:rPr>
          <w:color w:val="000000"/>
          <w:sz w:val="24"/>
          <w:u w:val="single"/>
          <w:lang w:eastAsia="zh-CN"/>
        </w:rPr>
        <w:t xml:space="preserve"> </w:t>
      </w:r>
      <w:r>
        <w:rPr>
          <w:rFonts w:hint="eastAsia"/>
          <w:color w:val="000000"/>
          <w:sz w:val="24"/>
          <w:u w:val="single"/>
          <w:lang w:eastAsia="zh-CN"/>
        </w:rPr>
        <w:t>陆</w:t>
      </w:r>
      <w:r>
        <w:rPr>
          <w:color w:val="000000"/>
          <w:sz w:val="24"/>
          <w:u w:val="single"/>
          <w:lang w:eastAsia="zh-CN"/>
        </w:rPr>
        <w:t xml:space="preserve"> </w:t>
      </w:r>
      <w:r>
        <w:rPr>
          <w:rFonts w:hint="eastAsia"/>
          <w:color w:val="000000"/>
          <w:sz w:val="24"/>
          <w:lang w:eastAsia="zh-CN"/>
        </w:rPr>
        <w:t>份，双方签订后，甲方执</w:t>
      </w:r>
      <w:r>
        <w:rPr>
          <w:color w:val="000000"/>
          <w:sz w:val="24"/>
          <w:u w:val="single"/>
          <w:lang w:eastAsia="zh-CN"/>
        </w:rPr>
        <w:t xml:space="preserve"> </w:t>
      </w:r>
      <w:r>
        <w:rPr>
          <w:rFonts w:hint="eastAsia"/>
          <w:color w:val="000000"/>
          <w:sz w:val="24"/>
          <w:u w:val="single"/>
          <w:lang w:eastAsia="zh-CN"/>
        </w:rPr>
        <w:t>肆</w:t>
      </w:r>
      <w:r>
        <w:rPr>
          <w:color w:val="000000"/>
          <w:sz w:val="24"/>
          <w:u w:val="single"/>
          <w:lang w:eastAsia="zh-CN"/>
        </w:rPr>
        <w:t xml:space="preserve"> </w:t>
      </w:r>
      <w:r>
        <w:rPr>
          <w:rFonts w:hint="eastAsia"/>
          <w:color w:val="000000"/>
          <w:sz w:val="24"/>
          <w:lang w:eastAsia="zh-CN"/>
        </w:rPr>
        <w:t>份，乙方执</w:t>
      </w:r>
      <w:r>
        <w:rPr>
          <w:color w:val="000000"/>
          <w:sz w:val="24"/>
          <w:u w:val="single"/>
          <w:lang w:eastAsia="zh-CN"/>
        </w:rPr>
        <w:t xml:space="preserve"> </w:t>
      </w:r>
      <w:r>
        <w:rPr>
          <w:rFonts w:hint="eastAsia"/>
          <w:color w:val="000000"/>
          <w:sz w:val="24"/>
          <w:u w:val="single"/>
          <w:lang w:eastAsia="zh-CN"/>
        </w:rPr>
        <w:t>贰</w:t>
      </w:r>
      <w:r>
        <w:rPr>
          <w:color w:val="000000"/>
          <w:sz w:val="24"/>
          <w:u w:val="single"/>
          <w:lang w:eastAsia="zh-CN"/>
        </w:rPr>
        <w:t xml:space="preserve"> </w:t>
      </w:r>
      <w:r>
        <w:rPr>
          <w:rFonts w:hint="eastAsia"/>
          <w:color w:val="000000"/>
          <w:sz w:val="24"/>
          <w:lang w:eastAsia="zh-CN"/>
        </w:rPr>
        <w:t>份，具有同等法律效力。</w:t>
      </w:r>
    </w:p>
    <w:p w14:paraId="3CCB030D">
      <w:pPr>
        <w:spacing w:line="360" w:lineRule="auto"/>
        <w:rPr>
          <w:color w:val="000000"/>
          <w:sz w:val="24"/>
          <w:lang w:eastAsia="zh-CN"/>
        </w:rPr>
      </w:pPr>
      <w:r>
        <w:rPr>
          <w:rFonts w:hint="eastAsia"/>
          <w:color w:val="000000"/>
          <w:sz w:val="24"/>
          <w:lang w:eastAsia="zh-CN"/>
        </w:rPr>
        <w:t>十、附件</w:t>
      </w:r>
    </w:p>
    <w:p w14:paraId="5340EB94">
      <w:pPr>
        <w:spacing w:line="360" w:lineRule="auto"/>
        <w:ind w:firstLine="960" w:firstLineChars="400"/>
        <w:rPr>
          <w:color w:val="000000"/>
          <w:sz w:val="24"/>
          <w:lang w:eastAsia="zh-CN"/>
        </w:rPr>
      </w:pPr>
      <w:r>
        <w:rPr>
          <w:rFonts w:hint="eastAsia"/>
          <w:color w:val="000000"/>
          <w:sz w:val="24"/>
          <w:lang w:eastAsia="zh-CN"/>
        </w:rPr>
        <w:t>附件1：发包说明</w:t>
      </w:r>
    </w:p>
    <w:p w14:paraId="7C9A6F25">
      <w:pPr>
        <w:spacing w:line="360" w:lineRule="auto"/>
        <w:ind w:firstLine="960" w:firstLineChars="400"/>
        <w:rPr>
          <w:color w:val="000000"/>
          <w:sz w:val="24"/>
          <w:lang w:eastAsia="zh-CN"/>
        </w:rPr>
      </w:pPr>
    </w:p>
    <w:p w14:paraId="4BA6CB3D">
      <w:pPr>
        <w:spacing w:line="360" w:lineRule="auto"/>
        <w:ind w:firstLine="960" w:firstLineChars="400"/>
        <w:rPr>
          <w:color w:val="000000"/>
          <w:sz w:val="24"/>
          <w:lang w:eastAsia="zh-CN"/>
        </w:rPr>
      </w:pPr>
    </w:p>
    <w:p w14:paraId="58CFB31C">
      <w:pPr>
        <w:tabs>
          <w:tab w:val="left" w:pos="2010"/>
        </w:tabs>
        <w:spacing w:line="360" w:lineRule="auto"/>
        <w:ind w:firstLine="964" w:firstLineChars="400"/>
        <w:rPr>
          <w:rFonts w:cs="Arial"/>
          <w:b/>
          <w:sz w:val="24"/>
          <w:lang w:eastAsia="zh-CN"/>
        </w:rPr>
      </w:pPr>
    </w:p>
    <w:p w14:paraId="33170BBE">
      <w:pPr>
        <w:tabs>
          <w:tab w:val="left" w:pos="2010"/>
        </w:tabs>
        <w:spacing w:line="360" w:lineRule="auto"/>
        <w:ind w:firstLine="964" w:firstLineChars="400"/>
        <w:rPr>
          <w:sz w:val="24"/>
          <w:lang w:eastAsia="zh-CN"/>
        </w:rPr>
      </w:pPr>
      <w:r>
        <w:rPr>
          <w:rFonts w:hint="eastAsia" w:cs="Arial"/>
          <w:b/>
          <w:sz w:val="24"/>
          <w:lang w:eastAsia="zh-CN"/>
        </w:rPr>
        <w:t>（以下为签署栏，无正文）</w:t>
      </w:r>
    </w:p>
    <w:p w14:paraId="162A584F">
      <w:pPr>
        <w:spacing w:line="360" w:lineRule="auto"/>
        <w:rPr>
          <w:rFonts w:cs="Arial"/>
          <w:b/>
          <w:sz w:val="24"/>
          <w:lang w:eastAsia="zh-CN"/>
        </w:rPr>
      </w:pPr>
    </w:p>
    <w:p w14:paraId="718A91D5">
      <w:pPr>
        <w:spacing w:line="360" w:lineRule="auto"/>
        <w:rPr>
          <w:rFonts w:cs="Arial"/>
          <w:b/>
          <w:sz w:val="24"/>
          <w:lang w:eastAsia="zh-CN"/>
        </w:rPr>
      </w:pPr>
      <w:r>
        <w:rPr>
          <w:rFonts w:hint="eastAsia" w:cs="Arial"/>
          <w:b/>
          <w:sz w:val="24"/>
          <w:lang w:eastAsia="zh-CN"/>
        </w:rPr>
        <w:t>甲方</w:t>
      </w:r>
      <w:r>
        <w:rPr>
          <w:rFonts w:cs="Arial"/>
          <w:b/>
          <w:sz w:val="24"/>
          <w:lang w:eastAsia="zh-CN"/>
        </w:rPr>
        <w:t>：</w:t>
      </w:r>
      <w:r>
        <w:rPr>
          <w:rFonts w:hint="eastAsia" w:cs="Arial"/>
          <w:b/>
          <w:sz w:val="24"/>
          <w:lang w:eastAsia="zh-CN"/>
        </w:rPr>
        <w:t xml:space="preserve">                                    乙方：</w:t>
      </w:r>
      <w:r>
        <w:rPr>
          <w:rFonts w:cs="Arial"/>
          <w:b/>
          <w:sz w:val="24"/>
          <w:lang w:eastAsia="zh-CN"/>
        </w:rPr>
        <w:t xml:space="preserve"> </w:t>
      </w:r>
    </w:p>
    <w:p w14:paraId="6C098EFD">
      <w:pPr>
        <w:spacing w:line="360" w:lineRule="auto"/>
        <w:ind w:firstLine="480" w:firstLineChars="200"/>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福建福化古雷石油化工有限公司</w:t>
      </w:r>
      <w:r>
        <w:rPr>
          <w:rFonts w:hint="eastAsia" w:asciiTheme="majorEastAsia" w:hAnsiTheme="majorEastAsia" w:eastAsiaTheme="majorEastAsia"/>
          <w:sz w:val="24"/>
          <w:szCs w:val="24"/>
          <w:lang w:eastAsia="zh-CN"/>
        </w:rPr>
        <w:t xml:space="preserve"> </w:t>
      </w:r>
      <w:r>
        <w:rPr>
          <w:rFonts w:asciiTheme="majorEastAsia" w:hAnsiTheme="majorEastAsia" w:eastAsiaTheme="majorEastAsia"/>
          <w:sz w:val="24"/>
          <w:szCs w:val="24"/>
          <w:lang w:eastAsia="zh-CN"/>
        </w:rPr>
        <w:t xml:space="preserve">      </w:t>
      </w:r>
    </w:p>
    <w:p w14:paraId="45BF6E6E">
      <w:pPr>
        <w:spacing w:line="360" w:lineRule="auto"/>
        <w:rPr>
          <w:rFonts w:asciiTheme="majorEastAsia" w:hAnsiTheme="majorEastAsia" w:eastAsiaTheme="majorEastAsia"/>
          <w:sz w:val="24"/>
          <w:szCs w:val="24"/>
          <w:lang w:eastAsia="zh-CN"/>
        </w:rPr>
      </w:pPr>
    </w:p>
    <w:p w14:paraId="5BFC48CD">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住所：漳州市古雷港经济开发区</w:t>
      </w:r>
      <w:r>
        <w:rPr>
          <w:rFonts w:asciiTheme="majorEastAsia" w:hAnsiTheme="majorEastAsia" w:eastAsiaTheme="majorEastAsia"/>
          <w:sz w:val="24"/>
          <w:szCs w:val="24"/>
          <w:lang w:eastAsia="zh-CN"/>
        </w:rPr>
        <w:t xml:space="preserve">      </w:t>
      </w:r>
      <w:r>
        <w:rPr>
          <w:rFonts w:hint="eastAsia" w:asciiTheme="majorEastAsia" w:hAnsiTheme="majorEastAsia" w:eastAsiaTheme="majorEastAsia"/>
          <w:sz w:val="24"/>
          <w:szCs w:val="24"/>
          <w:lang w:eastAsia="zh-CN"/>
        </w:rPr>
        <w:t xml:space="preserve">   住所：</w:t>
      </w:r>
      <w:r>
        <w:rPr>
          <w:rFonts w:asciiTheme="majorEastAsia" w:hAnsiTheme="majorEastAsia" w:eastAsiaTheme="majorEastAsia"/>
          <w:sz w:val="24"/>
          <w:szCs w:val="24"/>
          <w:lang w:eastAsia="zh-CN"/>
        </w:rPr>
        <w:t xml:space="preserve"> </w:t>
      </w:r>
    </w:p>
    <w:p w14:paraId="7881CE50">
      <w:pPr>
        <w:spacing w:line="360" w:lineRule="auto"/>
        <w:ind w:firstLine="720" w:firstLineChars="3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腾龙路84</w:t>
      </w:r>
      <w:r>
        <w:rPr>
          <w:rFonts w:asciiTheme="majorEastAsia" w:hAnsiTheme="majorEastAsia" w:eastAsiaTheme="majorEastAsia"/>
          <w:sz w:val="24"/>
          <w:szCs w:val="24"/>
          <w:lang w:eastAsia="zh-CN"/>
        </w:rPr>
        <w:t>号</w:t>
      </w:r>
      <w:r>
        <w:rPr>
          <w:rFonts w:hint="eastAsia" w:asciiTheme="majorEastAsia" w:hAnsiTheme="majorEastAsia" w:eastAsiaTheme="majorEastAsia"/>
          <w:sz w:val="24"/>
          <w:szCs w:val="24"/>
          <w:lang w:eastAsia="zh-CN"/>
        </w:rPr>
        <w:t xml:space="preserve"> </w:t>
      </w:r>
      <w:r>
        <w:rPr>
          <w:rFonts w:asciiTheme="majorEastAsia" w:hAnsiTheme="majorEastAsia" w:eastAsiaTheme="majorEastAsia"/>
          <w:sz w:val="24"/>
          <w:szCs w:val="24"/>
          <w:lang w:eastAsia="zh-CN"/>
        </w:rPr>
        <w:t xml:space="preserve">                    </w:t>
      </w:r>
    </w:p>
    <w:p w14:paraId="26D4DE35">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电话：0</w:t>
      </w:r>
      <w:r>
        <w:rPr>
          <w:rFonts w:asciiTheme="majorEastAsia" w:hAnsiTheme="majorEastAsia" w:eastAsiaTheme="majorEastAsia"/>
          <w:sz w:val="24"/>
          <w:szCs w:val="24"/>
          <w:lang w:eastAsia="zh-CN"/>
        </w:rPr>
        <w:t>596-3890032</w:t>
      </w:r>
      <w:r>
        <w:rPr>
          <w:rFonts w:hint="eastAsia" w:asciiTheme="majorEastAsia" w:hAnsiTheme="majorEastAsia" w:eastAsiaTheme="majorEastAsia"/>
          <w:sz w:val="24"/>
          <w:szCs w:val="24"/>
          <w:lang w:eastAsia="zh-CN"/>
        </w:rPr>
        <w:t xml:space="preserve"> </w:t>
      </w:r>
      <w:r>
        <w:rPr>
          <w:rFonts w:asciiTheme="majorEastAsia" w:hAnsiTheme="majorEastAsia" w:eastAsiaTheme="majorEastAsia"/>
          <w:sz w:val="24"/>
          <w:szCs w:val="24"/>
          <w:lang w:eastAsia="zh-CN"/>
        </w:rPr>
        <w:t xml:space="preserve">                  </w:t>
      </w:r>
      <w:r>
        <w:rPr>
          <w:rFonts w:hint="eastAsia" w:asciiTheme="majorEastAsia" w:hAnsiTheme="majorEastAsia" w:eastAsiaTheme="majorEastAsia"/>
          <w:sz w:val="24"/>
          <w:szCs w:val="24"/>
          <w:lang w:eastAsia="zh-CN"/>
        </w:rPr>
        <w:t xml:space="preserve">电话： </w:t>
      </w:r>
    </w:p>
    <w:p w14:paraId="4F5D5691">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纳税人识别号：      </w:t>
      </w:r>
      <w:r>
        <w:rPr>
          <w:rFonts w:asciiTheme="majorEastAsia" w:hAnsiTheme="majorEastAsia" w:eastAsiaTheme="majorEastAsia"/>
          <w:sz w:val="24"/>
          <w:szCs w:val="24"/>
          <w:lang w:eastAsia="zh-CN"/>
        </w:rPr>
        <w:t xml:space="preserve"> </w:t>
      </w:r>
      <w:r>
        <w:rPr>
          <w:rFonts w:hint="eastAsia" w:asciiTheme="majorEastAsia" w:hAnsiTheme="majorEastAsia" w:eastAsiaTheme="majorEastAsia"/>
          <w:sz w:val="24"/>
          <w:szCs w:val="24"/>
          <w:lang w:eastAsia="zh-CN"/>
        </w:rPr>
        <w:t xml:space="preserve"> </w:t>
      </w:r>
      <w:r>
        <w:rPr>
          <w:rFonts w:asciiTheme="majorEastAsia" w:hAnsiTheme="majorEastAsia" w:eastAsiaTheme="majorEastAsia"/>
          <w:sz w:val="24"/>
          <w:szCs w:val="24"/>
          <w:lang w:eastAsia="zh-CN"/>
        </w:rPr>
        <w:t xml:space="preserve">               </w:t>
      </w:r>
      <w:r>
        <w:rPr>
          <w:rFonts w:hint="eastAsia" w:asciiTheme="majorEastAsia" w:hAnsiTheme="majorEastAsia" w:eastAsiaTheme="majorEastAsia"/>
          <w:sz w:val="24"/>
          <w:szCs w:val="24"/>
          <w:lang w:eastAsia="zh-CN"/>
        </w:rPr>
        <w:t>纳税人识别号：</w:t>
      </w:r>
    </w:p>
    <w:p w14:paraId="4ACEE52C">
      <w:pPr>
        <w:pStyle w:val="10"/>
        <w:spacing w:before="0" w:beforeAutospacing="0" w:after="0" w:afterAutospacing="0" w:line="360" w:lineRule="auto"/>
        <w:ind w:firstLine="480" w:firstLineChars="200"/>
      </w:pPr>
      <w:r>
        <w:rPr>
          <w:rFonts w:hint="eastAsia" w:asciiTheme="majorEastAsia" w:hAnsiTheme="majorEastAsia" w:eastAsiaTheme="majorEastAsia"/>
        </w:rPr>
        <w:t>9</w:t>
      </w:r>
      <w:r>
        <w:rPr>
          <w:rFonts w:asciiTheme="majorEastAsia" w:hAnsiTheme="majorEastAsia" w:eastAsiaTheme="majorEastAsia"/>
        </w:rPr>
        <w:t xml:space="preserve">1350623MA2Y02HG6L                      </w:t>
      </w:r>
    </w:p>
    <w:p w14:paraId="7E3AA36B">
      <w:pPr>
        <w:spacing w:line="360" w:lineRule="auto"/>
        <w:rPr>
          <w:sz w:val="24"/>
          <w:szCs w:val="24"/>
          <w:lang w:eastAsia="zh-CN"/>
        </w:rPr>
      </w:pPr>
      <w:r>
        <w:rPr>
          <w:rFonts w:hint="eastAsia" w:asciiTheme="majorEastAsia" w:hAnsiTheme="majorEastAsia" w:eastAsiaTheme="majorEastAsia"/>
          <w:sz w:val="24"/>
          <w:szCs w:val="24"/>
          <w:lang w:eastAsia="zh-CN"/>
        </w:rPr>
        <w:t>开户银行：兴业银行漳州古雷支行</w:t>
      </w:r>
      <w:r>
        <w:rPr>
          <w:rFonts w:asciiTheme="majorEastAsia" w:hAnsiTheme="majorEastAsia" w:eastAsiaTheme="majorEastAsia"/>
          <w:sz w:val="24"/>
          <w:szCs w:val="24"/>
          <w:lang w:eastAsia="zh-CN"/>
        </w:rPr>
        <w:t xml:space="preserve">       </w:t>
      </w:r>
      <w:r>
        <w:rPr>
          <w:rFonts w:hint="eastAsia" w:asciiTheme="majorEastAsia" w:hAnsiTheme="majorEastAsia" w:eastAsiaTheme="majorEastAsia"/>
          <w:sz w:val="24"/>
          <w:szCs w:val="24"/>
          <w:lang w:eastAsia="zh-CN"/>
        </w:rPr>
        <w:t>开户银行：</w:t>
      </w:r>
      <w:r>
        <w:rPr>
          <w:sz w:val="24"/>
          <w:szCs w:val="24"/>
          <w:lang w:eastAsia="zh-CN"/>
        </w:rPr>
        <w:t xml:space="preserve"> </w:t>
      </w:r>
    </w:p>
    <w:p w14:paraId="2A9C494B">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账号：1</w:t>
      </w:r>
      <w:r>
        <w:rPr>
          <w:rFonts w:asciiTheme="majorEastAsia" w:hAnsiTheme="majorEastAsia" w:eastAsiaTheme="majorEastAsia"/>
          <w:sz w:val="24"/>
          <w:szCs w:val="24"/>
          <w:lang w:eastAsia="zh-CN"/>
        </w:rPr>
        <w:t xml:space="preserve">62070100100015218             </w:t>
      </w:r>
      <w:r>
        <w:rPr>
          <w:rFonts w:hint="eastAsia" w:asciiTheme="majorEastAsia" w:hAnsiTheme="majorEastAsia" w:eastAsiaTheme="majorEastAsia"/>
          <w:sz w:val="24"/>
          <w:szCs w:val="24"/>
          <w:lang w:eastAsia="zh-CN"/>
        </w:rPr>
        <w:t>账号：</w:t>
      </w:r>
    </w:p>
    <w:p w14:paraId="48B47AD1">
      <w:pPr>
        <w:pStyle w:val="17"/>
        <w:spacing w:line="360" w:lineRule="auto"/>
        <w:rPr>
          <w:b/>
          <w:sz w:val="28"/>
          <w:szCs w:val="28"/>
        </w:rPr>
      </w:pPr>
    </w:p>
    <w:p w14:paraId="4ED88316">
      <w:pPr>
        <w:pStyle w:val="17"/>
        <w:rPr>
          <w:b/>
          <w:sz w:val="28"/>
          <w:szCs w:val="28"/>
        </w:rPr>
      </w:pPr>
    </w:p>
    <w:p w14:paraId="6329B0B1">
      <w:pPr>
        <w:pStyle w:val="17"/>
        <w:rPr>
          <w:b/>
          <w:sz w:val="28"/>
          <w:szCs w:val="28"/>
        </w:rPr>
      </w:pPr>
    </w:p>
    <w:p w14:paraId="516C5E00">
      <w:pPr>
        <w:pStyle w:val="17"/>
        <w:rPr>
          <w:b/>
          <w:sz w:val="28"/>
          <w:szCs w:val="28"/>
        </w:rPr>
      </w:pPr>
    </w:p>
    <w:p w14:paraId="455F0ED3">
      <w:pPr>
        <w:pStyle w:val="17"/>
        <w:rPr>
          <w:b/>
          <w:sz w:val="28"/>
          <w:szCs w:val="28"/>
        </w:rPr>
      </w:pPr>
    </w:p>
    <w:p w14:paraId="6AC892E9">
      <w:pPr>
        <w:pStyle w:val="17"/>
        <w:rPr>
          <w:b/>
          <w:sz w:val="28"/>
          <w:szCs w:val="28"/>
        </w:rPr>
      </w:pPr>
    </w:p>
    <w:p w14:paraId="2BB8E1D1">
      <w:pPr>
        <w:pStyle w:val="17"/>
        <w:rPr>
          <w:b/>
          <w:sz w:val="28"/>
          <w:szCs w:val="28"/>
        </w:rPr>
      </w:pPr>
    </w:p>
    <w:p w14:paraId="6EBBDB6D">
      <w:pPr>
        <w:pStyle w:val="17"/>
        <w:rPr>
          <w:b/>
          <w:sz w:val="28"/>
          <w:szCs w:val="28"/>
        </w:rPr>
      </w:pPr>
    </w:p>
    <w:p w14:paraId="37DDCFE5">
      <w:pPr>
        <w:pStyle w:val="5"/>
        <w:spacing w:before="26"/>
        <w:ind w:right="121"/>
        <w:jc w:val="both"/>
        <w:rPr>
          <w:sz w:val="30"/>
          <w:szCs w:val="30"/>
          <w:lang w:eastAsia="zh-CN"/>
        </w:rPr>
      </w:pPr>
    </w:p>
    <w:p w14:paraId="537D623A">
      <w:pPr>
        <w:pStyle w:val="5"/>
        <w:spacing w:before="26"/>
        <w:ind w:right="121"/>
        <w:jc w:val="center"/>
        <w:rPr>
          <w:sz w:val="30"/>
          <w:szCs w:val="30"/>
          <w:lang w:eastAsia="zh-CN"/>
        </w:rPr>
      </w:pPr>
      <w:r>
        <w:rPr>
          <w:rFonts w:hint="eastAsia"/>
          <w:sz w:val="30"/>
          <w:szCs w:val="30"/>
          <w:lang w:eastAsia="zh-CN"/>
        </w:rPr>
        <w:t>福建能化集团福化古雷运营中心项目一期工程基坑支护工程</w:t>
      </w:r>
    </w:p>
    <w:p w14:paraId="0C2E2357">
      <w:pPr>
        <w:pStyle w:val="5"/>
        <w:spacing w:before="26"/>
        <w:ind w:right="121"/>
        <w:jc w:val="center"/>
        <w:rPr>
          <w:sz w:val="30"/>
          <w:szCs w:val="30"/>
          <w:lang w:eastAsia="zh-CN"/>
        </w:rPr>
      </w:pPr>
      <w:r>
        <w:rPr>
          <w:rFonts w:hint="eastAsia"/>
          <w:sz w:val="30"/>
          <w:szCs w:val="30"/>
          <w:lang w:eastAsia="zh-CN"/>
        </w:rPr>
        <w:t>监测服务发包说明</w:t>
      </w:r>
    </w:p>
    <w:p w14:paraId="610E7308">
      <w:pPr>
        <w:pStyle w:val="19"/>
        <w:autoSpaceDE/>
        <w:autoSpaceDN/>
        <w:spacing w:before="0" w:line="360" w:lineRule="auto"/>
        <w:ind w:left="0" w:firstLine="0"/>
        <w:jc w:val="both"/>
        <w:rPr>
          <w:rFonts w:asciiTheme="minorEastAsia" w:hAnsiTheme="minorEastAsia" w:eastAsiaTheme="minorEastAsia"/>
          <w:b/>
          <w:bCs/>
          <w:sz w:val="21"/>
          <w:szCs w:val="21"/>
          <w:lang w:eastAsia="zh-CN"/>
        </w:rPr>
      </w:pPr>
      <w:r>
        <w:rPr>
          <w:rFonts w:hint="eastAsia" w:asciiTheme="minorEastAsia" w:hAnsiTheme="minorEastAsia" w:eastAsiaTheme="minorEastAsia"/>
          <w:b/>
          <w:bCs/>
          <w:sz w:val="21"/>
          <w:szCs w:val="21"/>
          <w:lang w:eastAsia="zh-CN"/>
        </w:rPr>
        <w:t>一、项目名称：</w:t>
      </w:r>
    </w:p>
    <w:p w14:paraId="025FDD1E">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福建能化集团福化古雷运营中心项目一期工程基坑支护工程监测</w:t>
      </w:r>
    </w:p>
    <w:p w14:paraId="32B267E5">
      <w:pPr>
        <w:spacing w:line="360" w:lineRule="auto"/>
        <w:rPr>
          <w:rFonts w:asciiTheme="minorEastAsia" w:hAnsiTheme="minorEastAsia" w:eastAsiaTheme="minorEastAsia"/>
          <w:b/>
          <w:bCs/>
          <w:sz w:val="21"/>
          <w:szCs w:val="21"/>
          <w:lang w:eastAsia="zh-CN"/>
        </w:rPr>
      </w:pPr>
      <w:r>
        <w:rPr>
          <w:rFonts w:hint="eastAsia" w:asciiTheme="minorEastAsia" w:hAnsiTheme="minorEastAsia" w:eastAsiaTheme="minorEastAsia"/>
          <w:b/>
          <w:bCs/>
          <w:sz w:val="21"/>
          <w:szCs w:val="21"/>
          <w:lang w:eastAsia="zh-CN"/>
        </w:rPr>
        <w:t>二、项目概况：</w:t>
      </w:r>
    </w:p>
    <w:p w14:paraId="0148852E">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工程占地面积12349</w:t>
      </w:r>
      <w:r>
        <w:rPr>
          <w:rFonts w:hint="eastAsia" w:asciiTheme="minorEastAsia" w:hAnsiTheme="minorEastAsia" w:eastAsiaTheme="minorEastAsia"/>
          <w:sz w:val="21"/>
          <w:szCs w:val="21"/>
          <w:lang w:val="zh-CN" w:eastAsia="zh-CN"/>
        </w:rPr>
        <w:t>㎡，</w:t>
      </w:r>
      <w:r>
        <w:rPr>
          <w:rFonts w:hint="eastAsia" w:asciiTheme="minorEastAsia" w:hAnsiTheme="minorEastAsia" w:eastAsiaTheme="minorEastAsia"/>
          <w:sz w:val="21"/>
          <w:szCs w:val="21"/>
          <w:lang w:eastAsia="zh-CN"/>
        </w:rPr>
        <w:t>投资约为3.8亿元，</w:t>
      </w:r>
      <w:r>
        <w:rPr>
          <w:rFonts w:hint="eastAsia" w:asciiTheme="minorEastAsia" w:hAnsiTheme="minorEastAsia" w:eastAsiaTheme="minorEastAsia"/>
          <w:sz w:val="21"/>
          <w:szCs w:val="21"/>
          <w:lang w:val="zh-CN" w:eastAsia="zh-CN"/>
        </w:rPr>
        <w:t>建筑面积</w:t>
      </w:r>
      <w:r>
        <w:rPr>
          <w:rFonts w:hint="eastAsia" w:asciiTheme="minorEastAsia" w:hAnsiTheme="minorEastAsia" w:eastAsiaTheme="minorEastAsia"/>
          <w:sz w:val="21"/>
          <w:szCs w:val="21"/>
          <w:lang w:eastAsia="zh-CN"/>
        </w:rPr>
        <w:t>48791</w:t>
      </w:r>
      <w:r>
        <w:rPr>
          <w:rFonts w:hint="eastAsia" w:asciiTheme="minorEastAsia" w:hAnsiTheme="minorEastAsia" w:eastAsiaTheme="minorEastAsia"/>
          <w:sz w:val="21"/>
          <w:szCs w:val="21"/>
          <w:lang w:val="zh-CN" w:eastAsia="zh-CN"/>
        </w:rPr>
        <w:t>㎡，</w:t>
      </w:r>
      <w:r>
        <w:rPr>
          <w:rFonts w:hint="eastAsia" w:asciiTheme="minorEastAsia" w:hAnsiTheme="minorEastAsia" w:eastAsiaTheme="minorEastAsia"/>
          <w:sz w:val="21"/>
          <w:szCs w:val="21"/>
          <w:lang w:eastAsia="zh-CN"/>
        </w:rPr>
        <w:t>建设1#高层建筑物</w:t>
      </w:r>
      <w:r>
        <w:rPr>
          <w:rFonts w:hint="eastAsia" w:asciiTheme="minorEastAsia" w:hAnsiTheme="minorEastAsia" w:eastAsiaTheme="minorEastAsia"/>
          <w:sz w:val="21"/>
          <w:szCs w:val="21"/>
          <w:lang w:val="zh-CN" w:eastAsia="zh-CN"/>
        </w:rPr>
        <w:t>（</w:t>
      </w:r>
      <w:r>
        <w:rPr>
          <w:rFonts w:hint="eastAsia" w:asciiTheme="minorEastAsia" w:hAnsiTheme="minorEastAsia" w:eastAsiaTheme="minorEastAsia"/>
          <w:sz w:val="21"/>
          <w:szCs w:val="21"/>
          <w:lang w:eastAsia="zh-CN"/>
        </w:rPr>
        <w:t>含运营管理、会议、展厅、档案、应急中心、餐饮等功能）、地下室及配套设施。本工程拟采用桩基础,土0.00 为黄海高程 10.8m,场地整平标高不高于黄海高程8.90m。一层地下室底板垫层底黄海高程为3.90~4.00m,底板厚 400mm，垫层厚 100mm，基坑开挖深度约 4.50~4.90m，基坑底边线长约 369m，面积约 6967m。</w:t>
      </w:r>
    </w:p>
    <w:p w14:paraId="5629D6AE">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根据本工程的工程地质、水文地质及周边环境等条件，基坑支护方案具体如下:</w:t>
      </w:r>
    </w:p>
    <w:p w14:paraId="1E1DA80E">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(1)基坑采用钢板桩的支护形式。</w:t>
      </w:r>
    </w:p>
    <w:p w14:paraId="72C4F407">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(2)坑中坑采用放坡的支护形式。</w:t>
      </w:r>
    </w:p>
    <w:p w14:paraId="08D2B3AC">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结合场地水文地质条件及基坑支护方案，本工程采用疏干井结合集水明排进行降排水。</w:t>
      </w:r>
    </w:p>
    <w:p w14:paraId="16437C2B">
      <w:pPr>
        <w:pStyle w:val="17"/>
        <w:rPr>
          <w:rFonts w:asciiTheme="minorEastAsia" w:hAnsiTheme="minorEastAsia" w:eastAsiaTheme="minorEastAsia"/>
          <w:sz w:val="21"/>
          <w:szCs w:val="21"/>
        </w:rPr>
      </w:pPr>
      <w:r>
        <w:rPr>
          <w:rFonts w:hint="eastAsia" w:asciiTheme="minorEastAsia" w:hAnsiTheme="minorEastAsia" w:eastAsiaTheme="minorEastAsia"/>
          <w:b/>
          <w:bCs/>
          <w:sz w:val="21"/>
          <w:szCs w:val="21"/>
        </w:rPr>
        <w:t>三、建设地点：</w:t>
      </w:r>
      <w:r>
        <w:rPr>
          <w:rFonts w:hint="eastAsia" w:asciiTheme="minorEastAsia" w:hAnsiTheme="minorEastAsia" w:eastAsiaTheme="minorEastAsia"/>
          <w:sz w:val="21"/>
          <w:szCs w:val="21"/>
        </w:rPr>
        <w:t>杜浔镇防沙场（沿海大通道南侧）。</w:t>
      </w:r>
    </w:p>
    <w:p w14:paraId="35FF3751">
      <w:pPr>
        <w:pStyle w:val="19"/>
        <w:autoSpaceDE/>
        <w:autoSpaceDN/>
        <w:spacing w:before="0" w:line="360" w:lineRule="auto"/>
        <w:ind w:left="0" w:firstLine="0"/>
        <w:jc w:val="both"/>
        <w:rPr>
          <w:rFonts w:asciiTheme="minorEastAsia" w:hAnsiTheme="minorEastAsia" w:eastAsiaTheme="minorEastAsia"/>
          <w:b/>
          <w:bCs/>
          <w:sz w:val="21"/>
          <w:szCs w:val="21"/>
          <w:lang w:eastAsia="zh-CN"/>
        </w:rPr>
      </w:pPr>
      <w:r>
        <w:rPr>
          <w:rFonts w:hint="eastAsia" w:asciiTheme="minorEastAsia" w:hAnsiTheme="minorEastAsia" w:eastAsiaTheme="minorEastAsia"/>
          <w:b/>
          <w:bCs/>
          <w:sz w:val="21"/>
          <w:szCs w:val="21"/>
          <w:lang w:eastAsia="zh-CN"/>
        </w:rPr>
        <w:t>四、服务工期：</w:t>
      </w:r>
    </w:p>
    <w:p w14:paraId="1AF9F306">
      <w:pPr>
        <w:spacing w:line="360" w:lineRule="auto"/>
        <w:ind w:firstLine="420" w:firstLineChars="20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服务有效期为</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合同签订之日起至</w:t>
      </w:r>
      <w:r>
        <w:rPr>
          <w:rFonts w:hint="eastAsia" w:asciiTheme="minorEastAsia" w:hAnsiTheme="minorEastAsia" w:eastAsiaTheme="minorEastAsia"/>
          <w:sz w:val="21"/>
          <w:szCs w:val="21"/>
          <w:lang w:eastAsia="zh-CN"/>
        </w:rPr>
        <w:t>福建能化集团福化古雷运营中心项目一期工程基坑回填</w:t>
      </w:r>
      <w:r>
        <w:rPr>
          <w:rFonts w:asciiTheme="minorEastAsia" w:hAnsiTheme="minorEastAsia" w:eastAsiaTheme="minorEastAsia"/>
          <w:sz w:val="21"/>
          <w:szCs w:val="21"/>
          <w:lang w:eastAsia="zh-CN"/>
        </w:rPr>
        <w:t>结束止</w:t>
      </w:r>
      <w:r>
        <w:rPr>
          <w:rFonts w:hint="eastAsia" w:asciiTheme="minorEastAsia" w:hAnsiTheme="minorEastAsia" w:eastAsiaTheme="minorEastAsia"/>
          <w:sz w:val="21"/>
          <w:szCs w:val="21"/>
          <w:lang w:eastAsia="zh-CN"/>
        </w:rPr>
        <w:t>。</w:t>
      </w:r>
    </w:p>
    <w:p w14:paraId="01ECE36F">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监测单位接到进场监测通知后，3天内提供监测方案报审，同基坑开挖同步开展基坑监测工作，并提供监测报告。</w:t>
      </w:r>
    </w:p>
    <w:p w14:paraId="77DDB9EA">
      <w:pPr>
        <w:pStyle w:val="19"/>
        <w:autoSpaceDE/>
        <w:autoSpaceDN/>
        <w:spacing w:before="0" w:line="360" w:lineRule="auto"/>
        <w:ind w:left="0" w:firstLine="0"/>
        <w:jc w:val="both"/>
        <w:rPr>
          <w:rFonts w:asciiTheme="minorEastAsia" w:hAnsiTheme="minorEastAsia" w:eastAsiaTheme="minorEastAsia"/>
          <w:b/>
          <w:bCs/>
          <w:sz w:val="21"/>
          <w:szCs w:val="21"/>
          <w:lang w:eastAsia="zh-CN"/>
        </w:rPr>
      </w:pPr>
      <w:r>
        <w:rPr>
          <w:rFonts w:hint="eastAsia" w:asciiTheme="minorEastAsia" w:hAnsiTheme="minorEastAsia" w:eastAsiaTheme="minorEastAsia"/>
          <w:b/>
          <w:bCs/>
          <w:sz w:val="21"/>
          <w:szCs w:val="21"/>
          <w:lang w:eastAsia="zh-CN"/>
        </w:rPr>
        <w:t>五、工作范围</w:t>
      </w:r>
    </w:p>
    <w:p w14:paraId="103246BD">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为满足项目施工安全需要，承揽商监测工作范围包括但不限于：</w:t>
      </w:r>
    </w:p>
    <w:tbl>
      <w:tblPr>
        <w:tblStyle w:val="11"/>
        <w:tblW w:w="7650" w:type="dxa"/>
        <w:tblInd w:w="93"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15"/>
        <w:gridCol w:w="1425"/>
        <w:gridCol w:w="4335"/>
        <w:gridCol w:w="585"/>
        <w:gridCol w:w="690"/>
      </w:tblGrid>
      <w:tr w14:paraId="2A798EF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615" w:type="dxa"/>
            <w:tcBorders>
              <w:tl2br w:val="nil"/>
              <w:tr2bl w:val="nil"/>
            </w:tcBorders>
            <w:shd w:val="clear" w:color="auto" w:fill="auto"/>
            <w:noWrap/>
            <w:vAlign w:val="center"/>
          </w:tcPr>
          <w:p w14:paraId="73D08D75">
            <w:pPr>
              <w:widowControl/>
              <w:jc w:val="center"/>
              <w:textAlignment w:val="center"/>
              <w:rPr>
                <w:b/>
                <w:bCs/>
                <w:color w:val="000000"/>
                <w:sz w:val="20"/>
                <w:szCs w:val="20"/>
              </w:rPr>
            </w:pPr>
            <w:r>
              <w:rPr>
                <w:rFonts w:hint="eastAsia"/>
                <w:b/>
                <w:bCs/>
                <w:color w:val="000000"/>
                <w:sz w:val="20"/>
                <w:szCs w:val="20"/>
                <w:lang w:eastAsia="zh-CN" w:bidi="ar"/>
              </w:rPr>
              <w:t>序号</w:t>
            </w:r>
          </w:p>
        </w:tc>
        <w:tc>
          <w:tcPr>
            <w:tcW w:w="5760" w:type="dxa"/>
            <w:gridSpan w:val="2"/>
            <w:tcBorders>
              <w:tl2br w:val="nil"/>
              <w:tr2bl w:val="nil"/>
            </w:tcBorders>
            <w:shd w:val="clear" w:color="auto" w:fill="auto"/>
            <w:noWrap/>
            <w:vAlign w:val="center"/>
          </w:tcPr>
          <w:p w14:paraId="22CFC8AD">
            <w:pPr>
              <w:widowControl/>
              <w:jc w:val="center"/>
              <w:textAlignment w:val="center"/>
              <w:rPr>
                <w:b/>
                <w:bCs/>
                <w:color w:val="000000"/>
                <w:sz w:val="20"/>
                <w:szCs w:val="20"/>
              </w:rPr>
            </w:pPr>
            <w:r>
              <w:rPr>
                <w:rFonts w:hint="eastAsia"/>
                <w:b/>
                <w:bCs/>
                <w:color w:val="000000"/>
                <w:sz w:val="20"/>
                <w:szCs w:val="20"/>
                <w:lang w:eastAsia="zh-CN" w:bidi="ar"/>
              </w:rPr>
              <w:t>监测项目</w:t>
            </w:r>
          </w:p>
        </w:tc>
        <w:tc>
          <w:tcPr>
            <w:tcW w:w="585" w:type="dxa"/>
            <w:tcBorders>
              <w:tl2br w:val="nil"/>
              <w:tr2bl w:val="nil"/>
            </w:tcBorders>
            <w:shd w:val="clear" w:color="auto" w:fill="auto"/>
            <w:noWrap/>
            <w:vAlign w:val="center"/>
          </w:tcPr>
          <w:p w14:paraId="18526267">
            <w:pPr>
              <w:widowControl/>
              <w:jc w:val="center"/>
              <w:textAlignment w:val="center"/>
              <w:rPr>
                <w:b/>
                <w:bCs/>
                <w:color w:val="000000"/>
                <w:sz w:val="16"/>
                <w:szCs w:val="16"/>
              </w:rPr>
            </w:pPr>
            <w:r>
              <w:rPr>
                <w:rFonts w:hint="eastAsia"/>
                <w:b/>
                <w:bCs/>
                <w:color w:val="000000"/>
                <w:sz w:val="16"/>
                <w:szCs w:val="16"/>
                <w:lang w:eastAsia="zh-CN" w:bidi="ar"/>
              </w:rPr>
              <w:t>单位</w:t>
            </w:r>
          </w:p>
        </w:tc>
        <w:tc>
          <w:tcPr>
            <w:tcW w:w="690" w:type="dxa"/>
            <w:tcBorders>
              <w:tl2br w:val="nil"/>
              <w:tr2bl w:val="nil"/>
            </w:tcBorders>
            <w:shd w:val="clear" w:color="auto" w:fill="auto"/>
            <w:vAlign w:val="center"/>
          </w:tcPr>
          <w:p w14:paraId="2B95BCD2">
            <w:pPr>
              <w:widowControl/>
              <w:jc w:val="center"/>
              <w:textAlignment w:val="center"/>
              <w:rPr>
                <w:b/>
                <w:bCs/>
                <w:color w:val="000000"/>
                <w:sz w:val="16"/>
                <w:szCs w:val="16"/>
              </w:rPr>
            </w:pPr>
            <w:r>
              <w:rPr>
                <w:rFonts w:hint="eastAsia"/>
                <w:b/>
                <w:bCs/>
                <w:color w:val="000000"/>
                <w:sz w:val="16"/>
                <w:szCs w:val="16"/>
                <w:lang w:eastAsia="zh-CN" w:bidi="ar"/>
              </w:rPr>
              <w:t>合计</w:t>
            </w:r>
            <w:r>
              <w:rPr>
                <w:rFonts w:hint="eastAsia"/>
                <w:b/>
                <w:bCs/>
                <w:color w:val="000000"/>
                <w:sz w:val="16"/>
                <w:szCs w:val="16"/>
                <w:lang w:eastAsia="zh-CN" w:bidi="ar"/>
              </w:rPr>
              <w:br w:type="textWrapping"/>
            </w:r>
            <w:r>
              <w:rPr>
                <w:rFonts w:hint="eastAsia"/>
                <w:b/>
                <w:bCs/>
                <w:color w:val="000000"/>
                <w:sz w:val="16"/>
                <w:szCs w:val="16"/>
                <w:lang w:eastAsia="zh-CN" w:bidi="ar"/>
              </w:rPr>
              <w:t>数量</w:t>
            </w:r>
          </w:p>
        </w:tc>
      </w:tr>
      <w:tr w14:paraId="76F68A3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0" w:type="auto"/>
            <w:tcBorders>
              <w:tl2br w:val="nil"/>
              <w:tr2bl w:val="nil"/>
            </w:tcBorders>
            <w:shd w:val="clear" w:color="auto" w:fill="auto"/>
            <w:noWrap/>
            <w:vAlign w:val="center"/>
          </w:tcPr>
          <w:p w14:paraId="146F83C9">
            <w:pPr>
              <w:widowControl/>
              <w:jc w:val="center"/>
              <w:textAlignment w:val="center"/>
              <w:rPr>
                <w:color w:val="000000"/>
                <w:sz w:val="20"/>
                <w:szCs w:val="20"/>
              </w:rPr>
            </w:pPr>
            <w:r>
              <w:rPr>
                <w:rFonts w:hint="eastAsia"/>
                <w:color w:val="000000"/>
                <w:sz w:val="20"/>
                <w:szCs w:val="20"/>
                <w:lang w:eastAsia="zh-CN" w:bidi="ar"/>
              </w:rPr>
              <w:t>1</w:t>
            </w:r>
          </w:p>
        </w:tc>
        <w:tc>
          <w:tcPr>
            <w:tcW w:w="1425" w:type="dxa"/>
            <w:tcBorders>
              <w:tl2br w:val="nil"/>
              <w:tr2bl w:val="nil"/>
            </w:tcBorders>
            <w:shd w:val="clear" w:color="auto" w:fill="auto"/>
            <w:vAlign w:val="center"/>
          </w:tcPr>
          <w:p w14:paraId="151F83DF">
            <w:pPr>
              <w:widowControl/>
              <w:jc w:val="center"/>
              <w:textAlignment w:val="center"/>
              <w:rPr>
                <w:color w:val="000000"/>
                <w:sz w:val="20"/>
                <w:szCs w:val="20"/>
              </w:rPr>
            </w:pPr>
            <w:r>
              <w:rPr>
                <w:rFonts w:hint="eastAsia"/>
                <w:color w:val="000000"/>
                <w:sz w:val="20"/>
                <w:szCs w:val="20"/>
                <w:lang w:eastAsia="zh-CN" w:bidi="ar"/>
              </w:rPr>
              <w:t>水平位移监测</w:t>
            </w:r>
          </w:p>
        </w:tc>
        <w:tc>
          <w:tcPr>
            <w:tcW w:w="0" w:type="auto"/>
            <w:tcBorders>
              <w:tl2br w:val="nil"/>
              <w:tr2bl w:val="nil"/>
            </w:tcBorders>
            <w:shd w:val="clear" w:color="auto" w:fill="auto"/>
            <w:noWrap/>
            <w:vAlign w:val="center"/>
          </w:tcPr>
          <w:p w14:paraId="7512D148">
            <w:pPr>
              <w:widowControl/>
              <w:textAlignment w:val="center"/>
              <w:rPr>
                <w:color w:val="000000"/>
                <w:sz w:val="20"/>
                <w:szCs w:val="20"/>
                <w:lang w:eastAsia="zh-CN"/>
              </w:rPr>
            </w:pPr>
            <w:r>
              <w:rPr>
                <w:rFonts w:hint="eastAsia"/>
                <w:color w:val="000000"/>
                <w:sz w:val="20"/>
                <w:szCs w:val="20"/>
                <w:lang w:eastAsia="zh-CN" w:bidi="ar"/>
              </w:rPr>
              <w:t>基坑支护坡顶水平位移监测</w:t>
            </w:r>
          </w:p>
        </w:tc>
        <w:tc>
          <w:tcPr>
            <w:tcW w:w="0" w:type="auto"/>
            <w:tcBorders>
              <w:tl2br w:val="nil"/>
              <w:tr2bl w:val="nil"/>
            </w:tcBorders>
            <w:shd w:val="clear" w:color="auto" w:fill="auto"/>
            <w:noWrap/>
            <w:vAlign w:val="center"/>
          </w:tcPr>
          <w:p w14:paraId="6DF3BE1A">
            <w:pPr>
              <w:widowControl/>
              <w:jc w:val="center"/>
              <w:textAlignment w:val="center"/>
              <w:rPr>
                <w:color w:val="000000"/>
                <w:sz w:val="20"/>
                <w:szCs w:val="20"/>
              </w:rPr>
            </w:pPr>
            <w:r>
              <w:rPr>
                <w:rFonts w:hint="eastAsia"/>
                <w:color w:val="000000"/>
                <w:sz w:val="20"/>
                <w:szCs w:val="20"/>
                <w:lang w:eastAsia="zh-CN" w:bidi="ar"/>
              </w:rPr>
              <w:t>点</w:t>
            </w:r>
          </w:p>
        </w:tc>
        <w:tc>
          <w:tcPr>
            <w:tcW w:w="0" w:type="auto"/>
            <w:tcBorders>
              <w:tl2br w:val="nil"/>
              <w:tr2bl w:val="nil"/>
            </w:tcBorders>
            <w:shd w:val="clear" w:color="auto" w:fill="auto"/>
            <w:noWrap/>
            <w:vAlign w:val="center"/>
          </w:tcPr>
          <w:p w14:paraId="3AD0CA88">
            <w:pPr>
              <w:widowControl/>
              <w:jc w:val="center"/>
              <w:textAlignment w:val="center"/>
              <w:rPr>
                <w:color w:val="000000"/>
                <w:sz w:val="20"/>
                <w:szCs w:val="20"/>
              </w:rPr>
            </w:pPr>
            <w:r>
              <w:rPr>
                <w:rFonts w:hint="eastAsia"/>
                <w:color w:val="000000"/>
                <w:sz w:val="20"/>
                <w:szCs w:val="20"/>
                <w:lang w:eastAsia="zh-CN" w:bidi="ar"/>
              </w:rPr>
              <w:t>19</w:t>
            </w:r>
          </w:p>
        </w:tc>
      </w:tr>
      <w:tr w14:paraId="6262A64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0" w:type="auto"/>
            <w:tcBorders>
              <w:tl2br w:val="nil"/>
              <w:tr2bl w:val="nil"/>
            </w:tcBorders>
            <w:shd w:val="clear" w:color="auto" w:fill="auto"/>
            <w:noWrap/>
            <w:vAlign w:val="center"/>
          </w:tcPr>
          <w:p w14:paraId="6B212C68">
            <w:pPr>
              <w:widowControl/>
              <w:jc w:val="center"/>
              <w:textAlignment w:val="center"/>
              <w:rPr>
                <w:color w:val="000000"/>
                <w:sz w:val="20"/>
                <w:szCs w:val="20"/>
              </w:rPr>
            </w:pPr>
            <w:r>
              <w:rPr>
                <w:rFonts w:hint="eastAsia"/>
                <w:color w:val="000000"/>
                <w:sz w:val="20"/>
                <w:szCs w:val="20"/>
                <w:lang w:eastAsia="zh-CN" w:bidi="ar"/>
              </w:rPr>
              <w:t>2</w:t>
            </w:r>
          </w:p>
        </w:tc>
        <w:tc>
          <w:tcPr>
            <w:tcW w:w="1425" w:type="dxa"/>
            <w:tcBorders>
              <w:tl2br w:val="nil"/>
              <w:tr2bl w:val="nil"/>
            </w:tcBorders>
            <w:shd w:val="clear" w:color="auto" w:fill="auto"/>
            <w:vAlign w:val="center"/>
          </w:tcPr>
          <w:p w14:paraId="72B1761C">
            <w:pPr>
              <w:widowControl/>
              <w:jc w:val="center"/>
              <w:textAlignment w:val="center"/>
              <w:rPr>
                <w:color w:val="000000"/>
                <w:sz w:val="20"/>
                <w:szCs w:val="20"/>
              </w:rPr>
            </w:pPr>
            <w:r>
              <w:rPr>
                <w:rFonts w:hint="eastAsia"/>
                <w:color w:val="000000"/>
                <w:sz w:val="20"/>
                <w:szCs w:val="20"/>
                <w:lang w:eastAsia="zh-CN" w:bidi="ar"/>
              </w:rPr>
              <w:t>竖向沉降监测</w:t>
            </w:r>
          </w:p>
        </w:tc>
        <w:tc>
          <w:tcPr>
            <w:tcW w:w="0" w:type="auto"/>
            <w:tcBorders>
              <w:tl2br w:val="nil"/>
              <w:tr2bl w:val="nil"/>
            </w:tcBorders>
            <w:shd w:val="clear" w:color="auto" w:fill="auto"/>
            <w:noWrap/>
            <w:vAlign w:val="center"/>
          </w:tcPr>
          <w:p w14:paraId="1D0CF268">
            <w:pPr>
              <w:widowControl/>
              <w:textAlignment w:val="center"/>
              <w:rPr>
                <w:color w:val="000000"/>
                <w:sz w:val="20"/>
                <w:szCs w:val="20"/>
                <w:lang w:eastAsia="zh-CN"/>
              </w:rPr>
            </w:pPr>
            <w:r>
              <w:rPr>
                <w:rFonts w:hint="eastAsia"/>
                <w:color w:val="000000"/>
                <w:sz w:val="20"/>
                <w:szCs w:val="20"/>
                <w:lang w:eastAsia="zh-CN" w:bidi="ar"/>
              </w:rPr>
              <w:t>基坑支护坡顶垂直沉降监测</w:t>
            </w:r>
          </w:p>
        </w:tc>
        <w:tc>
          <w:tcPr>
            <w:tcW w:w="0" w:type="auto"/>
            <w:tcBorders>
              <w:tl2br w:val="nil"/>
              <w:tr2bl w:val="nil"/>
            </w:tcBorders>
            <w:shd w:val="clear" w:color="auto" w:fill="auto"/>
            <w:noWrap/>
            <w:vAlign w:val="center"/>
          </w:tcPr>
          <w:p w14:paraId="14BC385B">
            <w:pPr>
              <w:widowControl/>
              <w:jc w:val="center"/>
              <w:textAlignment w:val="center"/>
              <w:rPr>
                <w:color w:val="000000"/>
                <w:sz w:val="20"/>
                <w:szCs w:val="20"/>
              </w:rPr>
            </w:pPr>
            <w:r>
              <w:rPr>
                <w:rFonts w:hint="eastAsia"/>
                <w:color w:val="000000"/>
                <w:sz w:val="20"/>
                <w:szCs w:val="20"/>
                <w:lang w:eastAsia="zh-CN" w:bidi="ar"/>
              </w:rPr>
              <w:t>点</w:t>
            </w:r>
          </w:p>
        </w:tc>
        <w:tc>
          <w:tcPr>
            <w:tcW w:w="0" w:type="auto"/>
            <w:tcBorders>
              <w:tl2br w:val="nil"/>
              <w:tr2bl w:val="nil"/>
            </w:tcBorders>
            <w:shd w:val="clear" w:color="auto" w:fill="auto"/>
            <w:noWrap/>
            <w:vAlign w:val="center"/>
          </w:tcPr>
          <w:p w14:paraId="13CAB3DB">
            <w:pPr>
              <w:widowControl/>
              <w:jc w:val="center"/>
              <w:textAlignment w:val="center"/>
              <w:rPr>
                <w:color w:val="000000"/>
                <w:sz w:val="20"/>
                <w:szCs w:val="20"/>
              </w:rPr>
            </w:pPr>
            <w:r>
              <w:rPr>
                <w:rFonts w:hint="eastAsia"/>
                <w:color w:val="000000"/>
                <w:sz w:val="20"/>
                <w:szCs w:val="20"/>
                <w:lang w:eastAsia="zh-CN" w:bidi="ar"/>
              </w:rPr>
              <w:t>19</w:t>
            </w:r>
          </w:p>
        </w:tc>
      </w:tr>
      <w:tr w14:paraId="0F920B6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0" w:type="auto"/>
            <w:tcBorders>
              <w:tl2br w:val="nil"/>
              <w:tr2bl w:val="nil"/>
            </w:tcBorders>
            <w:shd w:val="clear" w:color="auto" w:fill="auto"/>
            <w:noWrap/>
            <w:vAlign w:val="center"/>
          </w:tcPr>
          <w:p w14:paraId="7D9119AD">
            <w:pPr>
              <w:widowControl/>
              <w:jc w:val="center"/>
              <w:textAlignment w:val="center"/>
              <w:rPr>
                <w:color w:val="000000"/>
                <w:sz w:val="20"/>
                <w:szCs w:val="20"/>
              </w:rPr>
            </w:pPr>
            <w:r>
              <w:rPr>
                <w:rFonts w:hint="eastAsia"/>
                <w:color w:val="000000"/>
                <w:sz w:val="20"/>
                <w:szCs w:val="20"/>
                <w:lang w:eastAsia="zh-CN" w:bidi="ar"/>
              </w:rPr>
              <w:t>3</w:t>
            </w:r>
          </w:p>
        </w:tc>
        <w:tc>
          <w:tcPr>
            <w:tcW w:w="1425" w:type="dxa"/>
            <w:tcBorders>
              <w:tl2br w:val="nil"/>
              <w:tr2bl w:val="nil"/>
            </w:tcBorders>
            <w:shd w:val="clear" w:color="auto" w:fill="auto"/>
            <w:vAlign w:val="center"/>
          </w:tcPr>
          <w:p w14:paraId="4292EAAC">
            <w:pPr>
              <w:widowControl/>
              <w:jc w:val="center"/>
              <w:textAlignment w:val="center"/>
              <w:rPr>
                <w:color w:val="000000"/>
                <w:sz w:val="20"/>
                <w:szCs w:val="20"/>
              </w:rPr>
            </w:pPr>
            <w:r>
              <w:rPr>
                <w:rFonts w:hint="eastAsia"/>
                <w:color w:val="000000"/>
                <w:sz w:val="20"/>
                <w:szCs w:val="20"/>
                <w:lang w:eastAsia="zh-CN" w:bidi="ar"/>
              </w:rPr>
              <w:t>深层位移</w:t>
            </w:r>
            <w:r>
              <w:rPr>
                <w:rFonts w:hint="eastAsia"/>
                <w:color w:val="000000"/>
                <w:sz w:val="20"/>
                <w:szCs w:val="20"/>
                <w:lang w:eastAsia="zh-CN" w:bidi="ar"/>
              </w:rPr>
              <w:br w:type="textWrapping"/>
            </w:r>
            <w:r>
              <w:rPr>
                <w:rFonts w:hint="eastAsia"/>
                <w:color w:val="000000"/>
                <w:sz w:val="20"/>
                <w:szCs w:val="20"/>
                <w:lang w:eastAsia="zh-CN" w:bidi="ar"/>
              </w:rPr>
              <w:t>(测斜管)</w:t>
            </w:r>
          </w:p>
        </w:tc>
        <w:tc>
          <w:tcPr>
            <w:tcW w:w="4335" w:type="dxa"/>
            <w:tcBorders>
              <w:tl2br w:val="nil"/>
              <w:tr2bl w:val="nil"/>
            </w:tcBorders>
            <w:shd w:val="clear" w:color="auto" w:fill="auto"/>
            <w:vAlign w:val="center"/>
          </w:tcPr>
          <w:p w14:paraId="1941A6D2">
            <w:pPr>
              <w:widowControl/>
              <w:textAlignment w:val="center"/>
              <w:rPr>
                <w:color w:val="000000"/>
                <w:sz w:val="20"/>
                <w:szCs w:val="20"/>
                <w:lang w:eastAsia="zh-CN"/>
              </w:rPr>
            </w:pPr>
            <w:r>
              <w:rPr>
                <w:rFonts w:hint="eastAsia"/>
                <w:color w:val="000000"/>
                <w:sz w:val="20"/>
                <w:szCs w:val="20"/>
                <w:lang w:eastAsia="zh-CN" w:bidi="ar"/>
              </w:rPr>
              <w:t>基坑深层水平位移监测（12m/点，共9点）</w:t>
            </w:r>
          </w:p>
        </w:tc>
        <w:tc>
          <w:tcPr>
            <w:tcW w:w="0" w:type="auto"/>
            <w:tcBorders>
              <w:tl2br w:val="nil"/>
              <w:tr2bl w:val="nil"/>
            </w:tcBorders>
            <w:shd w:val="clear" w:color="auto" w:fill="auto"/>
            <w:noWrap/>
            <w:vAlign w:val="center"/>
          </w:tcPr>
          <w:p w14:paraId="06A99412">
            <w:pPr>
              <w:widowControl/>
              <w:jc w:val="center"/>
              <w:textAlignment w:val="center"/>
              <w:rPr>
                <w:color w:val="000000"/>
                <w:sz w:val="20"/>
                <w:szCs w:val="20"/>
              </w:rPr>
            </w:pPr>
            <w:r>
              <w:rPr>
                <w:rFonts w:hint="eastAsia"/>
                <w:color w:val="000000"/>
                <w:sz w:val="20"/>
                <w:szCs w:val="20"/>
                <w:lang w:eastAsia="zh-CN" w:bidi="ar"/>
              </w:rPr>
              <w:t>m</w:t>
            </w:r>
          </w:p>
        </w:tc>
        <w:tc>
          <w:tcPr>
            <w:tcW w:w="0" w:type="auto"/>
            <w:tcBorders>
              <w:tl2br w:val="nil"/>
              <w:tr2bl w:val="nil"/>
            </w:tcBorders>
            <w:shd w:val="clear" w:color="auto" w:fill="auto"/>
            <w:noWrap/>
            <w:vAlign w:val="center"/>
          </w:tcPr>
          <w:p w14:paraId="32A2187C">
            <w:pPr>
              <w:widowControl/>
              <w:jc w:val="center"/>
              <w:textAlignment w:val="center"/>
              <w:rPr>
                <w:color w:val="000000"/>
                <w:sz w:val="20"/>
                <w:szCs w:val="20"/>
              </w:rPr>
            </w:pPr>
            <w:r>
              <w:rPr>
                <w:rFonts w:hint="eastAsia"/>
                <w:color w:val="000000"/>
                <w:sz w:val="20"/>
                <w:szCs w:val="20"/>
                <w:lang w:eastAsia="zh-CN" w:bidi="ar"/>
              </w:rPr>
              <w:t>108</w:t>
            </w:r>
          </w:p>
        </w:tc>
      </w:tr>
      <w:tr w14:paraId="1C796C2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0" w:type="auto"/>
            <w:tcBorders>
              <w:tl2br w:val="nil"/>
              <w:tr2bl w:val="nil"/>
            </w:tcBorders>
            <w:shd w:val="clear" w:color="auto" w:fill="auto"/>
            <w:noWrap/>
            <w:vAlign w:val="center"/>
          </w:tcPr>
          <w:p w14:paraId="70CBB399">
            <w:pPr>
              <w:widowControl/>
              <w:jc w:val="center"/>
              <w:textAlignment w:val="center"/>
              <w:rPr>
                <w:color w:val="000000"/>
                <w:sz w:val="20"/>
                <w:szCs w:val="20"/>
              </w:rPr>
            </w:pPr>
            <w:r>
              <w:rPr>
                <w:rFonts w:hint="eastAsia"/>
                <w:color w:val="000000"/>
                <w:sz w:val="20"/>
                <w:szCs w:val="20"/>
                <w:lang w:eastAsia="zh-CN" w:bidi="ar"/>
              </w:rPr>
              <w:t>4</w:t>
            </w:r>
          </w:p>
        </w:tc>
        <w:tc>
          <w:tcPr>
            <w:tcW w:w="1425" w:type="dxa"/>
            <w:tcBorders>
              <w:tl2br w:val="nil"/>
              <w:tr2bl w:val="nil"/>
            </w:tcBorders>
            <w:shd w:val="clear" w:color="auto" w:fill="auto"/>
            <w:vAlign w:val="center"/>
          </w:tcPr>
          <w:p w14:paraId="51B5DE3B">
            <w:pPr>
              <w:widowControl/>
              <w:jc w:val="center"/>
              <w:textAlignment w:val="center"/>
              <w:rPr>
                <w:color w:val="000000"/>
                <w:sz w:val="20"/>
                <w:szCs w:val="20"/>
              </w:rPr>
            </w:pPr>
            <w:r>
              <w:rPr>
                <w:rFonts w:hint="eastAsia"/>
                <w:color w:val="000000"/>
                <w:sz w:val="20"/>
                <w:szCs w:val="20"/>
                <w:lang w:eastAsia="zh-CN" w:bidi="ar"/>
              </w:rPr>
              <w:t>地下水位监测</w:t>
            </w:r>
          </w:p>
        </w:tc>
        <w:tc>
          <w:tcPr>
            <w:tcW w:w="4335" w:type="dxa"/>
            <w:tcBorders>
              <w:tl2br w:val="nil"/>
              <w:tr2bl w:val="nil"/>
            </w:tcBorders>
            <w:shd w:val="clear" w:color="auto" w:fill="auto"/>
            <w:vAlign w:val="center"/>
          </w:tcPr>
          <w:p w14:paraId="491B5BC5">
            <w:pPr>
              <w:widowControl/>
              <w:textAlignment w:val="center"/>
              <w:rPr>
                <w:color w:val="000000"/>
                <w:sz w:val="20"/>
                <w:szCs w:val="20"/>
                <w:lang w:eastAsia="zh-CN"/>
              </w:rPr>
            </w:pPr>
            <w:r>
              <w:rPr>
                <w:rFonts w:hint="eastAsia"/>
                <w:color w:val="000000"/>
                <w:sz w:val="20"/>
                <w:szCs w:val="20"/>
                <w:lang w:eastAsia="zh-CN" w:bidi="ar"/>
              </w:rPr>
              <w:t>基坑地下水位监测（10m/点，共6点）</w:t>
            </w:r>
          </w:p>
        </w:tc>
        <w:tc>
          <w:tcPr>
            <w:tcW w:w="0" w:type="auto"/>
            <w:tcBorders>
              <w:tl2br w:val="nil"/>
              <w:tr2bl w:val="nil"/>
            </w:tcBorders>
            <w:shd w:val="clear" w:color="auto" w:fill="auto"/>
            <w:noWrap/>
            <w:vAlign w:val="center"/>
          </w:tcPr>
          <w:p w14:paraId="399C6258">
            <w:pPr>
              <w:widowControl/>
              <w:jc w:val="center"/>
              <w:textAlignment w:val="center"/>
              <w:rPr>
                <w:color w:val="000000"/>
                <w:sz w:val="20"/>
                <w:szCs w:val="20"/>
              </w:rPr>
            </w:pPr>
            <w:r>
              <w:rPr>
                <w:rFonts w:hint="eastAsia"/>
                <w:color w:val="000000"/>
                <w:sz w:val="20"/>
                <w:szCs w:val="20"/>
                <w:lang w:eastAsia="zh-CN" w:bidi="ar"/>
              </w:rPr>
              <w:t>点</w:t>
            </w:r>
          </w:p>
        </w:tc>
        <w:tc>
          <w:tcPr>
            <w:tcW w:w="0" w:type="auto"/>
            <w:tcBorders>
              <w:tl2br w:val="nil"/>
              <w:tr2bl w:val="nil"/>
            </w:tcBorders>
            <w:shd w:val="clear" w:color="auto" w:fill="auto"/>
            <w:noWrap/>
            <w:vAlign w:val="center"/>
          </w:tcPr>
          <w:p w14:paraId="3F759246">
            <w:pPr>
              <w:widowControl/>
              <w:jc w:val="center"/>
              <w:textAlignment w:val="center"/>
              <w:rPr>
                <w:color w:val="000000"/>
                <w:sz w:val="20"/>
                <w:szCs w:val="20"/>
              </w:rPr>
            </w:pPr>
            <w:r>
              <w:rPr>
                <w:rFonts w:hint="eastAsia"/>
                <w:color w:val="000000"/>
                <w:sz w:val="20"/>
                <w:szCs w:val="20"/>
                <w:lang w:eastAsia="zh-CN" w:bidi="ar"/>
              </w:rPr>
              <w:t>6</w:t>
            </w:r>
          </w:p>
        </w:tc>
      </w:tr>
      <w:tr w14:paraId="54EDCE8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0" w:type="auto"/>
            <w:tcBorders>
              <w:tl2br w:val="nil"/>
              <w:tr2bl w:val="nil"/>
            </w:tcBorders>
            <w:shd w:val="clear" w:color="auto" w:fill="auto"/>
            <w:noWrap/>
            <w:vAlign w:val="center"/>
          </w:tcPr>
          <w:p w14:paraId="793632FC">
            <w:pPr>
              <w:widowControl/>
              <w:jc w:val="center"/>
              <w:textAlignment w:val="center"/>
              <w:rPr>
                <w:color w:val="000000"/>
                <w:sz w:val="20"/>
                <w:szCs w:val="20"/>
              </w:rPr>
            </w:pPr>
            <w:r>
              <w:rPr>
                <w:rFonts w:hint="eastAsia"/>
                <w:color w:val="000000"/>
                <w:sz w:val="20"/>
                <w:szCs w:val="20"/>
                <w:lang w:eastAsia="zh-CN" w:bidi="ar"/>
              </w:rPr>
              <w:t>5</w:t>
            </w:r>
          </w:p>
        </w:tc>
        <w:tc>
          <w:tcPr>
            <w:tcW w:w="1425" w:type="dxa"/>
            <w:tcBorders>
              <w:tl2br w:val="nil"/>
              <w:tr2bl w:val="nil"/>
            </w:tcBorders>
            <w:shd w:val="clear" w:color="auto" w:fill="auto"/>
            <w:vAlign w:val="center"/>
          </w:tcPr>
          <w:p w14:paraId="2F4ED732">
            <w:pPr>
              <w:widowControl/>
              <w:jc w:val="center"/>
              <w:textAlignment w:val="center"/>
              <w:rPr>
                <w:color w:val="000000"/>
                <w:sz w:val="20"/>
                <w:szCs w:val="20"/>
                <w:lang w:eastAsia="zh-CN"/>
              </w:rPr>
            </w:pPr>
            <w:r>
              <w:rPr>
                <w:rFonts w:hint="eastAsia"/>
                <w:color w:val="000000"/>
                <w:sz w:val="20"/>
                <w:szCs w:val="20"/>
                <w:lang w:eastAsia="zh-CN" w:bidi="ar"/>
              </w:rPr>
              <w:t>周边建筑物</w:t>
            </w:r>
            <w:r>
              <w:rPr>
                <w:rFonts w:hint="eastAsia"/>
                <w:color w:val="000000"/>
                <w:sz w:val="20"/>
                <w:szCs w:val="20"/>
                <w:lang w:eastAsia="zh-CN" w:bidi="ar"/>
              </w:rPr>
              <w:br w:type="textWrapping"/>
            </w:r>
            <w:r>
              <w:rPr>
                <w:rFonts w:hint="eastAsia"/>
                <w:color w:val="000000"/>
                <w:sz w:val="20"/>
                <w:szCs w:val="20"/>
                <w:lang w:eastAsia="zh-CN" w:bidi="ar"/>
              </w:rPr>
              <w:t>竖向沉降监测</w:t>
            </w:r>
          </w:p>
        </w:tc>
        <w:tc>
          <w:tcPr>
            <w:tcW w:w="4335" w:type="dxa"/>
            <w:tcBorders>
              <w:tl2br w:val="nil"/>
              <w:tr2bl w:val="nil"/>
            </w:tcBorders>
            <w:shd w:val="clear" w:color="auto" w:fill="auto"/>
            <w:vAlign w:val="center"/>
          </w:tcPr>
          <w:p w14:paraId="7EA2777F">
            <w:pPr>
              <w:widowControl/>
              <w:textAlignment w:val="center"/>
              <w:rPr>
                <w:color w:val="000000"/>
                <w:sz w:val="20"/>
                <w:szCs w:val="20"/>
                <w:lang w:eastAsia="zh-CN"/>
              </w:rPr>
            </w:pPr>
            <w:r>
              <w:rPr>
                <w:rFonts w:hint="eastAsia"/>
                <w:color w:val="000000"/>
                <w:sz w:val="20"/>
                <w:szCs w:val="20"/>
                <w:lang w:eastAsia="zh-CN" w:bidi="ar"/>
              </w:rPr>
              <w:t>基坑周边建筑物竖向沉降监测</w:t>
            </w:r>
          </w:p>
        </w:tc>
        <w:tc>
          <w:tcPr>
            <w:tcW w:w="0" w:type="auto"/>
            <w:tcBorders>
              <w:tl2br w:val="nil"/>
              <w:tr2bl w:val="nil"/>
            </w:tcBorders>
            <w:shd w:val="clear" w:color="auto" w:fill="auto"/>
            <w:noWrap/>
            <w:vAlign w:val="center"/>
          </w:tcPr>
          <w:p w14:paraId="39CF3747">
            <w:pPr>
              <w:widowControl/>
              <w:jc w:val="center"/>
              <w:textAlignment w:val="center"/>
              <w:rPr>
                <w:color w:val="000000"/>
                <w:sz w:val="20"/>
                <w:szCs w:val="20"/>
              </w:rPr>
            </w:pPr>
            <w:r>
              <w:rPr>
                <w:rFonts w:hint="eastAsia"/>
                <w:color w:val="000000"/>
                <w:sz w:val="20"/>
                <w:szCs w:val="20"/>
                <w:lang w:eastAsia="zh-CN" w:bidi="ar"/>
              </w:rPr>
              <w:t>点</w:t>
            </w:r>
          </w:p>
        </w:tc>
        <w:tc>
          <w:tcPr>
            <w:tcW w:w="0" w:type="auto"/>
            <w:tcBorders>
              <w:tl2br w:val="nil"/>
              <w:tr2bl w:val="nil"/>
            </w:tcBorders>
            <w:shd w:val="clear" w:color="auto" w:fill="auto"/>
            <w:noWrap/>
            <w:vAlign w:val="center"/>
          </w:tcPr>
          <w:p w14:paraId="5D88673F">
            <w:pPr>
              <w:widowControl/>
              <w:jc w:val="center"/>
              <w:textAlignment w:val="center"/>
              <w:rPr>
                <w:color w:val="000000"/>
                <w:sz w:val="20"/>
                <w:szCs w:val="20"/>
              </w:rPr>
            </w:pPr>
            <w:r>
              <w:rPr>
                <w:rFonts w:hint="eastAsia"/>
                <w:color w:val="000000"/>
                <w:sz w:val="20"/>
                <w:szCs w:val="20"/>
                <w:lang w:eastAsia="zh-CN" w:bidi="ar"/>
              </w:rPr>
              <w:t>31</w:t>
            </w:r>
          </w:p>
        </w:tc>
      </w:tr>
    </w:tbl>
    <w:p w14:paraId="4218E76F">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初步预计监测次数为：42次。</w:t>
      </w:r>
    </w:p>
    <w:p w14:paraId="507377B9">
      <w:pPr>
        <w:pStyle w:val="19"/>
        <w:autoSpaceDE/>
        <w:autoSpaceDN/>
        <w:spacing w:before="0" w:line="360" w:lineRule="auto"/>
        <w:ind w:left="0" w:firstLine="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 xml:space="preserve"> </w:t>
      </w:r>
      <w:r>
        <w:rPr>
          <w:rFonts w:hint="eastAsia" w:asciiTheme="minorEastAsia" w:hAnsiTheme="minorEastAsia" w:eastAsiaTheme="minorEastAsia"/>
          <w:b/>
          <w:bCs/>
          <w:sz w:val="21"/>
          <w:szCs w:val="21"/>
          <w:lang w:eastAsia="zh-CN"/>
        </w:rPr>
        <w:t>六、文件提供要求：</w:t>
      </w:r>
    </w:p>
    <w:p w14:paraId="78C4CB58">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1.乙方向甲方交付约定的监测成果报告一式六份（含电子文档）。 </w:t>
      </w:r>
    </w:p>
    <w:p w14:paraId="30B9F8B0">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2.监测工作成果的验收标准:按国家相关规程、规范和规定要求。</w:t>
      </w:r>
    </w:p>
    <w:p w14:paraId="69864C61">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3.监测工作成果的验收方法:各参建方进行基坑支护工程验收合格。</w:t>
      </w:r>
    </w:p>
    <w:p w14:paraId="602D1A46">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4.如甲方在开展相关工作过程中，需承揽商进一步完善或重新提交的，承揽商应在合同规定的责任范围内无条件配合开展相关工作，直到符合要求为止，完成时间以双方商定为准，由此造成的拖延以逾期完工论。</w:t>
      </w:r>
    </w:p>
    <w:p w14:paraId="3D55E4FE">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5.其它所需的资料文件。</w:t>
      </w:r>
    </w:p>
    <w:p w14:paraId="233EBDE4">
      <w:pPr>
        <w:pStyle w:val="19"/>
        <w:autoSpaceDE/>
        <w:autoSpaceDN/>
        <w:spacing w:before="0" w:line="360" w:lineRule="auto"/>
        <w:ind w:left="0" w:firstLine="0"/>
        <w:jc w:val="both"/>
        <w:rPr>
          <w:rFonts w:asciiTheme="minorEastAsia" w:hAnsiTheme="minorEastAsia" w:eastAsiaTheme="minorEastAsia"/>
          <w:b/>
          <w:bCs/>
          <w:sz w:val="21"/>
          <w:szCs w:val="21"/>
          <w:lang w:eastAsia="zh-CN"/>
        </w:rPr>
      </w:pPr>
      <w:r>
        <w:rPr>
          <w:rFonts w:hint="eastAsia" w:asciiTheme="minorEastAsia" w:hAnsiTheme="minorEastAsia" w:eastAsiaTheme="minorEastAsia"/>
          <w:b/>
          <w:bCs/>
          <w:sz w:val="21"/>
          <w:szCs w:val="21"/>
          <w:lang w:eastAsia="zh-CN"/>
        </w:rPr>
        <w:t>七、资质要求：</w:t>
      </w:r>
    </w:p>
    <w:p w14:paraId="39079099">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投标单位须具有甲级以上监测资质，且资质在有效期内。出具的技术文件符合政府相关部门的要求。</w:t>
      </w:r>
    </w:p>
    <w:p w14:paraId="7242FCF8">
      <w:pPr>
        <w:numPr>
          <w:ilvl w:val="0"/>
          <w:numId w:val="2"/>
        </w:numPr>
        <w:spacing w:line="360" w:lineRule="auto"/>
        <w:rPr>
          <w:rFonts w:asciiTheme="minorEastAsia" w:hAnsiTheme="minorEastAsia" w:eastAsiaTheme="minorEastAsia"/>
          <w:b/>
          <w:bCs/>
          <w:sz w:val="21"/>
          <w:szCs w:val="21"/>
          <w:lang w:eastAsia="zh-CN"/>
        </w:rPr>
      </w:pPr>
      <w:r>
        <w:rPr>
          <w:rFonts w:hint="eastAsia" w:asciiTheme="minorEastAsia" w:hAnsiTheme="minorEastAsia" w:eastAsiaTheme="minorEastAsia"/>
          <w:b/>
          <w:bCs/>
          <w:sz w:val="21"/>
          <w:szCs w:val="21"/>
          <w:lang w:eastAsia="zh-CN"/>
        </w:rPr>
        <w:t>比选控制价：</w:t>
      </w:r>
    </w:p>
    <w:p w14:paraId="0EEFA990">
      <w:pPr>
        <w:spacing w:line="360" w:lineRule="auto"/>
        <w:rPr>
          <w:rFonts w:asciiTheme="minorEastAsia" w:hAnsiTheme="minorEastAsia" w:eastAsiaTheme="minorEastAsia"/>
          <w:sz w:val="21"/>
          <w:szCs w:val="21"/>
          <w:lang w:eastAsia="zh-CN"/>
        </w:rPr>
      </w:pPr>
      <w:r>
        <w:rPr>
          <w:rFonts w:hint="eastAsia" w:asciiTheme="minorEastAsia" w:hAnsiTheme="minorEastAsia" w:eastAsiaTheme="minorEastAsia"/>
          <w:b/>
          <w:bCs/>
          <w:sz w:val="21"/>
          <w:szCs w:val="21"/>
          <w:lang w:eastAsia="zh-CN"/>
        </w:rPr>
        <w:t xml:space="preserve">  </w:t>
      </w:r>
      <w:r>
        <w:rPr>
          <w:rFonts w:hint="eastAsia" w:asciiTheme="minorEastAsia" w:hAnsiTheme="minorEastAsia" w:eastAsiaTheme="minorEastAsia"/>
          <w:sz w:val="21"/>
          <w:szCs w:val="21"/>
          <w:lang w:eastAsia="zh-CN"/>
        </w:rPr>
        <w:t xml:space="preserve"> 限价为10万元。</w:t>
      </w:r>
    </w:p>
    <w:p w14:paraId="1B48A958">
      <w:pPr>
        <w:spacing w:line="360" w:lineRule="auto"/>
        <w:rPr>
          <w:rFonts w:asciiTheme="minorEastAsia" w:hAnsiTheme="minorEastAsia" w:eastAsiaTheme="minorEastAsia"/>
          <w:sz w:val="21"/>
          <w:szCs w:val="21"/>
          <w:lang w:eastAsia="zh-CN"/>
        </w:rPr>
      </w:pPr>
    </w:p>
    <w:p w14:paraId="4D955901">
      <w:pPr>
        <w:spacing w:line="360" w:lineRule="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附件：基坑总平面及监测点布置图</w:t>
      </w:r>
    </w:p>
    <w:p w14:paraId="75845280">
      <w:pPr>
        <w:pStyle w:val="17"/>
        <w:rPr>
          <w:b/>
          <w:sz w:val="28"/>
          <w:szCs w:val="28"/>
        </w:rPr>
      </w:pPr>
    </w:p>
    <w:p w14:paraId="705E0237">
      <w:pPr>
        <w:pStyle w:val="17"/>
        <w:rPr>
          <w:b/>
          <w:sz w:val="28"/>
          <w:szCs w:val="28"/>
        </w:rPr>
      </w:pPr>
    </w:p>
    <w:p w14:paraId="6187F2C9">
      <w:pPr>
        <w:pStyle w:val="17"/>
        <w:rPr>
          <w:b/>
          <w:sz w:val="28"/>
          <w:szCs w:val="28"/>
        </w:rPr>
      </w:pPr>
    </w:p>
    <w:p w14:paraId="3779FE22">
      <w:pPr>
        <w:pStyle w:val="17"/>
        <w:rPr>
          <w:b/>
          <w:sz w:val="28"/>
          <w:szCs w:val="28"/>
        </w:rPr>
      </w:pPr>
    </w:p>
    <w:p w14:paraId="5E173485">
      <w:pPr>
        <w:pStyle w:val="17"/>
      </w:pPr>
    </w:p>
    <w:p w14:paraId="3B46A7CF">
      <w:pPr>
        <w:pStyle w:val="7"/>
        <w:spacing w:line="360" w:lineRule="auto"/>
        <w:rPr>
          <w:rFonts w:hAnsi="宋体"/>
          <w:lang w:eastAsia="zh-CN"/>
        </w:rPr>
      </w:pPr>
    </w:p>
    <w:p w14:paraId="20A093B5">
      <w:pPr>
        <w:spacing w:line="400" w:lineRule="exact"/>
        <w:ind w:left="209" w:hanging="208" w:hangingChars="87"/>
        <w:rPr>
          <w:color w:val="000000"/>
          <w:sz w:val="24"/>
          <w:lang w:eastAsia="zh-CN"/>
        </w:rPr>
      </w:pPr>
    </w:p>
    <w:p w14:paraId="4B4F429F">
      <w:pPr>
        <w:spacing w:before="11"/>
        <w:rPr>
          <w:rFonts w:asciiTheme="majorEastAsia" w:hAnsiTheme="majorEastAsia" w:eastAsiaTheme="majorEastAsia"/>
          <w:spacing w:val="20"/>
          <w:kern w:val="10"/>
          <w:sz w:val="24"/>
          <w:lang w:eastAsia="zh-CN"/>
        </w:rPr>
      </w:pPr>
      <w:r>
        <w:rPr>
          <w:lang w:eastAsia="zh-CN"/>
        </w:rPr>
        <w:br w:type="column"/>
      </w:r>
      <w:bookmarkStart w:id="9" w:name="_Toc251742852"/>
    </w:p>
    <w:p w14:paraId="3ABBAC9F">
      <w:pPr>
        <w:spacing w:before="11" w:line="360" w:lineRule="auto"/>
        <w:rPr>
          <w:b/>
          <w:bCs/>
          <w:sz w:val="30"/>
          <w:szCs w:val="30"/>
          <w:lang w:eastAsia="zh-CN"/>
        </w:rPr>
      </w:pPr>
      <w:r>
        <w:rPr>
          <w:rFonts w:hint="eastAsia"/>
          <w:b/>
          <w:bCs/>
          <w:sz w:val="30"/>
          <w:szCs w:val="30"/>
          <w:lang w:eastAsia="zh-CN"/>
        </w:rPr>
        <w:t>附件三、参选文件范本</w:t>
      </w:r>
    </w:p>
    <w:p w14:paraId="4CDA27F4">
      <w:pPr>
        <w:pStyle w:val="17"/>
        <w:rPr>
          <w:sz w:val="24"/>
          <w:szCs w:val="24"/>
        </w:rPr>
      </w:pPr>
    </w:p>
    <w:p w14:paraId="683B8D76">
      <w:pPr>
        <w:pStyle w:val="17"/>
        <w:rPr>
          <w:sz w:val="24"/>
          <w:szCs w:val="24"/>
        </w:rPr>
      </w:pPr>
      <w:r>
        <w:rPr>
          <w:rFonts w:hint="eastAsia"/>
          <w:sz w:val="24"/>
          <w:szCs w:val="24"/>
        </w:rPr>
        <w:t>附件1、</w:t>
      </w:r>
    </w:p>
    <w:p w14:paraId="4FAECF31">
      <w:pPr>
        <w:pStyle w:val="7"/>
        <w:jc w:val="center"/>
        <w:rPr>
          <w:rFonts w:ascii="Times New Roman" w:hAnsi="Times New Roman"/>
          <w:b/>
          <w:sz w:val="52"/>
          <w:szCs w:val="52"/>
          <w:lang w:eastAsia="zh-CN"/>
        </w:rPr>
      </w:pPr>
    </w:p>
    <w:p w14:paraId="004F7727">
      <w:pPr>
        <w:spacing w:line="520" w:lineRule="exact"/>
        <w:ind w:firstLine="480" w:firstLineChars="200"/>
        <w:rPr>
          <w:color w:val="000000"/>
          <w:sz w:val="24"/>
          <w:szCs w:val="24"/>
          <w:lang w:eastAsia="zh-CN"/>
        </w:rPr>
      </w:pPr>
      <w:r>
        <w:rPr>
          <w:rFonts w:hint="eastAsia"/>
          <w:color w:val="000000"/>
          <w:sz w:val="24"/>
          <w:szCs w:val="24"/>
          <w:lang w:eastAsia="zh-CN"/>
        </w:rPr>
        <w:t>参选单位企业概况（包含但不限于企业简介、营业执照、开户许可证、经营状况、拟投入本项目人员信息、以往承揽类似业绩的合同等其他可以证明参选人具有良好业绩的相关材料，凡弄虚作假的，一经查实，比选人有权取消其中选资格。）</w:t>
      </w:r>
    </w:p>
    <w:p w14:paraId="039AB94F">
      <w:pPr>
        <w:spacing w:line="520" w:lineRule="exact"/>
        <w:rPr>
          <w:color w:val="000000"/>
          <w:sz w:val="24"/>
          <w:szCs w:val="24"/>
          <w:lang w:eastAsia="zh-CN"/>
        </w:rPr>
      </w:pPr>
    </w:p>
    <w:p w14:paraId="61C3D0A2">
      <w:pPr>
        <w:spacing w:line="520" w:lineRule="exact"/>
        <w:rPr>
          <w:sz w:val="24"/>
          <w:szCs w:val="24"/>
          <w:lang w:eastAsia="zh-CN"/>
        </w:rPr>
      </w:pPr>
      <w:r>
        <w:rPr>
          <w:rFonts w:hint="eastAsia"/>
          <w:color w:val="000000"/>
          <w:sz w:val="24"/>
          <w:szCs w:val="24"/>
          <w:lang w:eastAsia="zh-CN"/>
        </w:rPr>
        <w:t>本部分内容由参选单位自行编制，不做格式要求。</w:t>
      </w:r>
    </w:p>
    <w:p w14:paraId="3027C343">
      <w:pPr>
        <w:pStyle w:val="17"/>
        <w:rPr>
          <w:b/>
          <w:bCs/>
          <w:sz w:val="36"/>
          <w:szCs w:val="36"/>
        </w:rPr>
      </w:pPr>
    </w:p>
    <w:p w14:paraId="007A9DF6">
      <w:pPr>
        <w:pStyle w:val="17"/>
        <w:rPr>
          <w:b/>
          <w:bCs/>
          <w:sz w:val="36"/>
          <w:szCs w:val="36"/>
        </w:rPr>
      </w:pPr>
    </w:p>
    <w:p w14:paraId="7B0A97D1">
      <w:pPr>
        <w:pStyle w:val="17"/>
        <w:rPr>
          <w:b/>
          <w:bCs/>
          <w:sz w:val="36"/>
          <w:szCs w:val="36"/>
        </w:rPr>
      </w:pPr>
    </w:p>
    <w:p w14:paraId="606F28A2">
      <w:pPr>
        <w:pStyle w:val="17"/>
        <w:rPr>
          <w:b/>
          <w:bCs/>
          <w:sz w:val="36"/>
          <w:szCs w:val="36"/>
        </w:rPr>
      </w:pPr>
    </w:p>
    <w:p w14:paraId="2376B009">
      <w:pPr>
        <w:pStyle w:val="17"/>
        <w:rPr>
          <w:b/>
          <w:bCs/>
          <w:sz w:val="36"/>
          <w:szCs w:val="36"/>
        </w:rPr>
      </w:pPr>
    </w:p>
    <w:p w14:paraId="1B4C134D">
      <w:pPr>
        <w:pStyle w:val="17"/>
        <w:rPr>
          <w:b/>
          <w:bCs/>
          <w:sz w:val="36"/>
          <w:szCs w:val="36"/>
        </w:rPr>
      </w:pPr>
    </w:p>
    <w:p w14:paraId="508D3621">
      <w:pPr>
        <w:pStyle w:val="17"/>
        <w:rPr>
          <w:b/>
          <w:bCs/>
          <w:sz w:val="36"/>
          <w:szCs w:val="36"/>
        </w:rPr>
      </w:pPr>
    </w:p>
    <w:p w14:paraId="546282ED">
      <w:pPr>
        <w:pStyle w:val="17"/>
        <w:rPr>
          <w:b/>
          <w:bCs/>
          <w:sz w:val="36"/>
          <w:szCs w:val="36"/>
        </w:rPr>
      </w:pPr>
    </w:p>
    <w:p w14:paraId="6245B05D">
      <w:pPr>
        <w:pStyle w:val="17"/>
        <w:rPr>
          <w:b/>
          <w:bCs/>
          <w:sz w:val="36"/>
          <w:szCs w:val="36"/>
        </w:rPr>
      </w:pPr>
    </w:p>
    <w:p w14:paraId="268BB9B3">
      <w:pPr>
        <w:pStyle w:val="17"/>
        <w:rPr>
          <w:b/>
          <w:bCs/>
          <w:sz w:val="36"/>
          <w:szCs w:val="36"/>
        </w:rPr>
      </w:pPr>
    </w:p>
    <w:p w14:paraId="595FE0AB">
      <w:pPr>
        <w:pStyle w:val="17"/>
        <w:rPr>
          <w:b/>
          <w:bCs/>
          <w:sz w:val="36"/>
          <w:szCs w:val="36"/>
        </w:rPr>
      </w:pPr>
    </w:p>
    <w:p w14:paraId="4E3AD564">
      <w:pPr>
        <w:pStyle w:val="17"/>
        <w:rPr>
          <w:b/>
          <w:bCs/>
          <w:sz w:val="36"/>
          <w:szCs w:val="36"/>
        </w:rPr>
      </w:pPr>
    </w:p>
    <w:p w14:paraId="42192BEE">
      <w:pPr>
        <w:pStyle w:val="17"/>
        <w:rPr>
          <w:b/>
          <w:bCs/>
          <w:sz w:val="36"/>
          <w:szCs w:val="36"/>
        </w:rPr>
      </w:pPr>
    </w:p>
    <w:p w14:paraId="5AB711B1">
      <w:pPr>
        <w:pStyle w:val="17"/>
        <w:rPr>
          <w:b/>
          <w:bCs/>
          <w:sz w:val="36"/>
          <w:szCs w:val="36"/>
        </w:rPr>
      </w:pPr>
    </w:p>
    <w:p w14:paraId="3C2E9109">
      <w:pPr>
        <w:pStyle w:val="17"/>
        <w:rPr>
          <w:sz w:val="24"/>
          <w:szCs w:val="24"/>
        </w:rPr>
      </w:pPr>
    </w:p>
    <w:p w14:paraId="617EE906">
      <w:pPr>
        <w:pStyle w:val="17"/>
        <w:rPr>
          <w:sz w:val="24"/>
          <w:szCs w:val="24"/>
        </w:rPr>
      </w:pPr>
    </w:p>
    <w:p w14:paraId="5CBE7474">
      <w:pPr>
        <w:pStyle w:val="17"/>
        <w:rPr>
          <w:sz w:val="24"/>
          <w:szCs w:val="24"/>
        </w:rPr>
      </w:pPr>
    </w:p>
    <w:p w14:paraId="118667DA">
      <w:pPr>
        <w:pStyle w:val="17"/>
        <w:rPr>
          <w:sz w:val="24"/>
          <w:szCs w:val="24"/>
        </w:rPr>
      </w:pPr>
    </w:p>
    <w:p w14:paraId="6C4AC446">
      <w:pPr>
        <w:pStyle w:val="17"/>
        <w:rPr>
          <w:sz w:val="24"/>
          <w:szCs w:val="24"/>
        </w:rPr>
      </w:pPr>
    </w:p>
    <w:p w14:paraId="0B58A679">
      <w:pPr>
        <w:pStyle w:val="17"/>
        <w:rPr>
          <w:sz w:val="24"/>
          <w:szCs w:val="24"/>
        </w:rPr>
      </w:pPr>
      <w:r>
        <w:rPr>
          <w:rFonts w:hint="eastAsia"/>
          <w:sz w:val="24"/>
          <w:szCs w:val="24"/>
        </w:rPr>
        <w:t>附件2、</w:t>
      </w:r>
    </w:p>
    <w:p w14:paraId="62F718F1">
      <w:pPr>
        <w:spacing w:line="500" w:lineRule="exact"/>
        <w:jc w:val="center"/>
        <w:rPr>
          <w:b/>
          <w:bCs/>
          <w:sz w:val="36"/>
          <w:szCs w:val="36"/>
          <w:lang w:eastAsia="zh-CN"/>
        </w:rPr>
      </w:pPr>
    </w:p>
    <w:p w14:paraId="3C84BD1A">
      <w:pPr>
        <w:spacing w:line="500" w:lineRule="exact"/>
        <w:jc w:val="center"/>
        <w:rPr>
          <w:b/>
          <w:bCs/>
          <w:sz w:val="36"/>
          <w:szCs w:val="36"/>
          <w:lang w:eastAsia="zh-CN"/>
        </w:rPr>
      </w:pPr>
    </w:p>
    <w:p w14:paraId="4B576955">
      <w:pPr>
        <w:spacing w:line="500" w:lineRule="exact"/>
        <w:jc w:val="center"/>
        <w:rPr>
          <w:b/>
          <w:bCs/>
          <w:sz w:val="36"/>
          <w:szCs w:val="36"/>
          <w:lang w:eastAsia="zh-CN"/>
        </w:rPr>
      </w:pPr>
      <w:r>
        <w:rPr>
          <w:rFonts w:hint="eastAsia"/>
          <w:b/>
          <w:bCs/>
          <w:sz w:val="36"/>
          <w:szCs w:val="36"/>
          <w:lang w:eastAsia="zh-CN"/>
        </w:rPr>
        <w:t>参选书</w:t>
      </w:r>
    </w:p>
    <w:p w14:paraId="7370C861">
      <w:pPr>
        <w:spacing w:line="500" w:lineRule="exact"/>
        <w:rPr>
          <w:sz w:val="24"/>
          <w:lang w:eastAsia="zh-CN"/>
        </w:rPr>
      </w:pPr>
    </w:p>
    <w:p w14:paraId="48C41DA9">
      <w:pPr>
        <w:spacing w:line="500" w:lineRule="exact"/>
        <w:rPr>
          <w:sz w:val="24"/>
          <w:lang w:eastAsia="zh-CN"/>
        </w:rPr>
      </w:pPr>
      <w:r>
        <w:rPr>
          <w:rFonts w:hint="eastAsia"/>
          <w:sz w:val="24"/>
          <w:lang w:eastAsia="zh-CN"/>
        </w:rPr>
        <w:t>致：福建福化古雷石油化工有限公司</w:t>
      </w:r>
    </w:p>
    <w:p w14:paraId="26B2AFF1">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14:paraId="30147855">
      <w:pPr>
        <w:spacing w:line="500" w:lineRule="exact"/>
        <w:ind w:firstLine="480" w:firstLineChars="200"/>
        <w:rPr>
          <w:sz w:val="24"/>
          <w:lang w:eastAsia="zh-CN"/>
        </w:rPr>
      </w:pPr>
      <w:r>
        <w:rPr>
          <w:rFonts w:hint="eastAsia"/>
          <w:sz w:val="24"/>
          <w:lang w:eastAsia="zh-CN"/>
        </w:rPr>
        <w:t>（1）参选文件</w:t>
      </w:r>
    </w:p>
    <w:p w14:paraId="1C592F2C">
      <w:pPr>
        <w:spacing w:line="500" w:lineRule="exact"/>
        <w:ind w:firstLine="480" w:firstLineChars="200"/>
        <w:rPr>
          <w:sz w:val="24"/>
          <w:lang w:eastAsia="zh-CN"/>
        </w:rPr>
      </w:pPr>
      <w:r>
        <w:rPr>
          <w:rFonts w:hint="eastAsia"/>
          <w:sz w:val="24"/>
          <w:lang w:eastAsia="zh-CN"/>
        </w:rPr>
        <w:t>（2）法定代表人授权委托书</w:t>
      </w:r>
    </w:p>
    <w:p w14:paraId="247359BE">
      <w:pPr>
        <w:spacing w:line="500" w:lineRule="exact"/>
        <w:ind w:firstLine="480" w:firstLineChars="200"/>
        <w:rPr>
          <w:sz w:val="24"/>
          <w:lang w:eastAsia="zh-CN"/>
        </w:rPr>
      </w:pPr>
      <w:r>
        <w:rPr>
          <w:rFonts w:hint="eastAsia"/>
          <w:sz w:val="24"/>
          <w:lang w:eastAsia="zh-CN"/>
        </w:rPr>
        <w:t>（3）参选报价单</w:t>
      </w:r>
    </w:p>
    <w:p w14:paraId="78468EAF">
      <w:pPr>
        <w:spacing w:line="500" w:lineRule="exact"/>
        <w:ind w:firstLine="480" w:firstLineChars="200"/>
        <w:rPr>
          <w:sz w:val="24"/>
          <w:lang w:eastAsia="zh-CN"/>
        </w:rPr>
      </w:pPr>
      <w:r>
        <w:rPr>
          <w:rFonts w:hint="eastAsia"/>
          <w:sz w:val="24"/>
          <w:lang w:eastAsia="zh-CN"/>
        </w:rPr>
        <w:t xml:space="preserve"> 据此参选书，我公司及签字代表宣布同意如下：</w:t>
      </w:r>
    </w:p>
    <w:p w14:paraId="45DCC669">
      <w:pPr>
        <w:spacing w:line="500" w:lineRule="exact"/>
        <w:rPr>
          <w:sz w:val="24"/>
          <w:lang w:eastAsia="zh-CN"/>
        </w:rPr>
      </w:pPr>
      <w:r>
        <w:rPr>
          <w:rFonts w:hint="eastAsia"/>
          <w:sz w:val="24"/>
          <w:lang w:eastAsia="zh-CN"/>
        </w:rPr>
        <w:t xml:space="preserve">     1、所递交的文件真实合法有效，且不存在任何虚假陈述或记载。</w:t>
      </w:r>
    </w:p>
    <w:p w14:paraId="41B48748">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14:paraId="45B6A687">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14:paraId="0B1F6CED">
      <w:pPr>
        <w:spacing w:line="500" w:lineRule="exact"/>
        <w:ind w:firstLine="480" w:firstLineChars="200"/>
        <w:rPr>
          <w:sz w:val="24"/>
          <w:lang w:eastAsia="zh-CN"/>
        </w:rPr>
      </w:pPr>
    </w:p>
    <w:p w14:paraId="4FA27871">
      <w:pPr>
        <w:spacing w:line="500" w:lineRule="exact"/>
        <w:ind w:firstLine="480" w:firstLineChars="200"/>
        <w:rPr>
          <w:sz w:val="24"/>
          <w:lang w:eastAsia="zh-CN"/>
        </w:rPr>
      </w:pPr>
    </w:p>
    <w:p w14:paraId="26F377AB">
      <w:pPr>
        <w:spacing w:line="500" w:lineRule="exact"/>
        <w:ind w:firstLine="480" w:firstLineChars="200"/>
        <w:rPr>
          <w:sz w:val="24"/>
          <w:lang w:eastAsia="zh-CN"/>
        </w:rPr>
      </w:pPr>
      <w:r>
        <w:rPr>
          <w:rFonts w:hint="eastAsia"/>
          <w:sz w:val="24"/>
          <w:lang w:eastAsia="zh-CN"/>
        </w:rPr>
        <w:t>被授权代表姓名：</w:t>
      </w:r>
    </w:p>
    <w:p w14:paraId="6542B52F">
      <w:pPr>
        <w:spacing w:line="500" w:lineRule="exact"/>
        <w:ind w:firstLine="480" w:firstLineChars="200"/>
        <w:rPr>
          <w:sz w:val="24"/>
          <w:lang w:eastAsia="zh-CN"/>
        </w:rPr>
      </w:pPr>
      <w:r>
        <w:rPr>
          <w:rFonts w:hint="eastAsia"/>
          <w:sz w:val="24"/>
          <w:lang w:eastAsia="zh-CN"/>
        </w:rPr>
        <w:t xml:space="preserve">        职务：</w:t>
      </w:r>
    </w:p>
    <w:p w14:paraId="4B2DB2A7">
      <w:pPr>
        <w:spacing w:line="500" w:lineRule="exact"/>
        <w:ind w:firstLine="480" w:firstLineChars="200"/>
        <w:rPr>
          <w:sz w:val="24"/>
          <w:lang w:eastAsia="zh-CN"/>
        </w:rPr>
      </w:pPr>
      <w:r>
        <w:rPr>
          <w:rFonts w:hint="eastAsia"/>
          <w:sz w:val="24"/>
          <w:lang w:eastAsia="zh-CN"/>
        </w:rPr>
        <w:t xml:space="preserve">    联系方式：</w:t>
      </w:r>
    </w:p>
    <w:p w14:paraId="332B7DB2">
      <w:pPr>
        <w:spacing w:line="500" w:lineRule="exact"/>
        <w:ind w:firstLine="480" w:firstLineChars="200"/>
        <w:rPr>
          <w:sz w:val="24"/>
          <w:lang w:eastAsia="zh-CN"/>
        </w:rPr>
      </w:pPr>
    </w:p>
    <w:p w14:paraId="2681E504">
      <w:pPr>
        <w:spacing w:line="500" w:lineRule="exact"/>
        <w:ind w:firstLine="480" w:firstLineChars="200"/>
        <w:rPr>
          <w:sz w:val="24"/>
          <w:lang w:eastAsia="zh-CN"/>
        </w:rPr>
      </w:pPr>
      <w:r>
        <w:rPr>
          <w:rFonts w:hint="eastAsia"/>
          <w:sz w:val="24"/>
          <w:lang w:eastAsia="zh-CN"/>
        </w:rPr>
        <w:t>被授权代表签字：</w:t>
      </w:r>
    </w:p>
    <w:p w14:paraId="603B8BA4">
      <w:pPr>
        <w:pStyle w:val="17"/>
      </w:pPr>
    </w:p>
    <w:p w14:paraId="6768ED77">
      <w:pPr>
        <w:pStyle w:val="17"/>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14:paraId="3F6AD4BC">
      <w:pPr>
        <w:pStyle w:val="17"/>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14:paraId="006FF65C">
      <w:pPr>
        <w:pStyle w:val="17"/>
        <w:jc w:val="center"/>
      </w:pPr>
    </w:p>
    <w:p w14:paraId="624AD487">
      <w:pPr>
        <w:pStyle w:val="17"/>
        <w:jc w:val="center"/>
      </w:pPr>
    </w:p>
    <w:p w14:paraId="6BC82638">
      <w:pPr>
        <w:pStyle w:val="17"/>
        <w:jc w:val="center"/>
      </w:pPr>
    </w:p>
    <w:p w14:paraId="786F1C37">
      <w:pPr>
        <w:spacing w:line="500" w:lineRule="exact"/>
        <w:jc w:val="both"/>
        <w:rPr>
          <w:b/>
          <w:bCs/>
          <w:sz w:val="36"/>
          <w:szCs w:val="36"/>
          <w:lang w:eastAsia="zh-CN"/>
        </w:rPr>
      </w:pPr>
      <w:r>
        <w:rPr>
          <w:rFonts w:hint="eastAsia"/>
          <w:sz w:val="24"/>
          <w:szCs w:val="24"/>
          <w:lang w:eastAsia="zh-CN"/>
        </w:rPr>
        <w:t>附件3、</w:t>
      </w:r>
    </w:p>
    <w:p w14:paraId="599A5D25">
      <w:pPr>
        <w:spacing w:line="500" w:lineRule="exact"/>
        <w:jc w:val="center"/>
        <w:rPr>
          <w:b/>
          <w:bCs/>
          <w:sz w:val="36"/>
          <w:szCs w:val="36"/>
          <w:lang w:eastAsia="zh-CN"/>
        </w:rPr>
      </w:pPr>
      <w:r>
        <w:rPr>
          <w:rFonts w:hint="eastAsia"/>
          <w:b/>
          <w:bCs/>
          <w:sz w:val="36"/>
          <w:szCs w:val="36"/>
          <w:lang w:eastAsia="zh-CN"/>
        </w:rPr>
        <w:t>法定代表人授权书</w:t>
      </w:r>
    </w:p>
    <w:p w14:paraId="11F43554">
      <w:pPr>
        <w:pStyle w:val="17"/>
        <w:jc w:val="center"/>
      </w:pPr>
    </w:p>
    <w:p w14:paraId="60AE85AB">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为本公司的合法代理人，就福建福化古雷石油化工有限公司福建能化集团福化古雷</w:t>
      </w:r>
      <w:r>
        <w:rPr>
          <w:rFonts w:hint="eastAsia"/>
          <w:bCs/>
          <w:sz w:val="24"/>
          <w:szCs w:val="24"/>
          <w:u w:val="single"/>
          <w:lang w:eastAsia="zh-CN"/>
        </w:rPr>
        <w:t>运营中心项目一期工程基坑支护工程监测</w:t>
      </w:r>
      <w:r>
        <w:rPr>
          <w:rFonts w:hint="eastAsia"/>
          <w:sz w:val="24"/>
          <w:lang w:eastAsia="zh-CN"/>
        </w:rPr>
        <w:t>服务项目公开自主比选，以本公司名义参与报价、合同执行并处理与之有关的其他事务，相关责任及后果由本公司承担。</w:t>
      </w:r>
    </w:p>
    <w:p w14:paraId="224AED21">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w:t>
      </w:r>
      <w:r>
        <w:rPr>
          <w:rFonts w:cs="Times New Roman"/>
          <w:color w:val="00B050"/>
          <w:sz w:val="28"/>
          <w:szCs w:val="28"/>
          <w:u w:val="single"/>
          <w:lang w:eastAsia="zh-CN"/>
        </w:rPr>
        <w:t>3</w:t>
      </w:r>
      <w:r>
        <w:rPr>
          <w:rFonts w:hint="eastAsia" w:cs="Times New Roman"/>
          <w:color w:val="00B050"/>
          <w:sz w:val="28"/>
          <w:szCs w:val="28"/>
          <w:u w:val="single"/>
          <w:lang w:eastAsia="zh-CN"/>
        </w:rPr>
        <w:t>年  月   日</w:t>
      </w:r>
      <w:r>
        <w:rPr>
          <w:rFonts w:hint="eastAsia"/>
          <w:sz w:val="24"/>
          <w:lang w:eastAsia="zh-CN"/>
        </w:rPr>
        <w:t>生效，本授权书有效期至此次报价，以及合同履行完毕时止。</w:t>
      </w:r>
    </w:p>
    <w:p w14:paraId="2F77D611">
      <w:pPr>
        <w:spacing w:line="360" w:lineRule="auto"/>
        <w:ind w:firstLine="480" w:firstLineChars="200"/>
        <w:rPr>
          <w:sz w:val="24"/>
          <w:szCs w:val="24"/>
          <w:lang w:eastAsia="zh-CN"/>
        </w:rPr>
      </w:pPr>
      <w:r>
        <w:rPr>
          <w:rFonts w:hint="eastAsia"/>
          <w:sz w:val="24"/>
          <w:szCs w:val="24"/>
          <w:lang w:eastAsia="zh-CN"/>
        </w:rPr>
        <w:t>代理人无转委托权，特此委托。</w:t>
      </w:r>
    </w:p>
    <w:p w14:paraId="235C242B">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14:paraId="35E02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14:paraId="20E43EDE">
            <w:pPr>
              <w:spacing w:line="360" w:lineRule="auto"/>
              <w:rPr>
                <w:color w:val="000000"/>
                <w:szCs w:val="21"/>
                <w:lang w:eastAsia="zh-CN"/>
              </w:rPr>
            </w:pPr>
          </w:p>
          <w:p w14:paraId="6F4C9BCB">
            <w:pPr>
              <w:spacing w:line="360" w:lineRule="auto"/>
              <w:jc w:val="center"/>
              <w:rPr>
                <w:color w:val="000000"/>
                <w:szCs w:val="21"/>
              </w:rPr>
            </w:pPr>
            <w:r>
              <w:rPr>
                <w:rFonts w:hint="eastAsia"/>
                <w:color w:val="000000"/>
                <w:szCs w:val="21"/>
              </w:rPr>
              <w:t>（正面）</w:t>
            </w:r>
          </w:p>
          <w:p w14:paraId="6901B015">
            <w:pPr>
              <w:spacing w:line="360" w:lineRule="auto"/>
              <w:rPr>
                <w:color w:val="000000"/>
                <w:szCs w:val="21"/>
                <w:lang w:eastAsia="zh-CN"/>
              </w:rPr>
            </w:pPr>
          </w:p>
        </w:tc>
        <w:tc>
          <w:tcPr>
            <w:tcW w:w="4643" w:type="dxa"/>
          </w:tcPr>
          <w:p w14:paraId="00CD00DB">
            <w:pPr>
              <w:spacing w:line="360" w:lineRule="auto"/>
              <w:rPr>
                <w:color w:val="000000"/>
                <w:szCs w:val="21"/>
                <w:lang w:eastAsia="zh-CN"/>
              </w:rPr>
            </w:pPr>
          </w:p>
          <w:p w14:paraId="53A68243">
            <w:pPr>
              <w:spacing w:line="360" w:lineRule="auto"/>
              <w:jc w:val="center"/>
              <w:rPr>
                <w:color w:val="000000"/>
                <w:szCs w:val="21"/>
              </w:rPr>
            </w:pPr>
            <w:r>
              <w:rPr>
                <w:rFonts w:hint="eastAsia"/>
                <w:color w:val="000000"/>
                <w:szCs w:val="21"/>
              </w:rPr>
              <w:t>（反面）</w:t>
            </w:r>
          </w:p>
        </w:tc>
      </w:tr>
    </w:tbl>
    <w:p w14:paraId="72546372">
      <w:pPr>
        <w:spacing w:line="276" w:lineRule="auto"/>
        <w:ind w:firstLine="420" w:firstLineChars="200"/>
        <w:rPr>
          <w:color w:val="000000"/>
          <w:sz w:val="21"/>
          <w:szCs w:val="21"/>
        </w:rPr>
      </w:pPr>
    </w:p>
    <w:p w14:paraId="2A78117D">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14:paraId="5B43B2AA">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14:paraId="4F29FDD2">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14:paraId="18FB47DE">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14:paraId="7B00DCAC">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14:paraId="6B1EA832">
      <w:pPr>
        <w:spacing w:line="360" w:lineRule="auto"/>
        <w:ind w:firstLine="480" w:firstLineChars="200"/>
        <w:rPr>
          <w:color w:val="000000"/>
          <w:sz w:val="24"/>
          <w:szCs w:val="24"/>
          <w:lang w:eastAsia="zh-CN"/>
        </w:rPr>
      </w:pPr>
    </w:p>
    <w:p w14:paraId="12276DCB">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14:paraId="0DABC051">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14:paraId="10FDA66A">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14:paraId="5EFCD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14:paraId="6DE5F2D1">
            <w:pPr>
              <w:spacing w:line="360" w:lineRule="auto"/>
              <w:rPr>
                <w:color w:val="000000"/>
                <w:szCs w:val="21"/>
                <w:lang w:eastAsia="zh-CN"/>
              </w:rPr>
            </w:pPr>
          </w:p>
          <w:p w14:paraId="29A1329D">
            <w:pPr>
              <w:spacing w:line="360" w:lineRule="auto"/>
              <w:jc w:val="center"/>
              <w:rPr>
                <w:color w:val="000000"/>
                <w:szCs w:val="21"/>
              </w:rPr>
            </w:pPr>
            <w:r>
              <w:rPr>
                <w:rFonts w:hint="eastAsia"/>
                <w:color w:val="000000"/>
                <w:szCs w:val="21"/>
              </w:rPr>
              <w:t>（正面）</w:t>
            </w:r>
          </w:p>
          <w:p w14:paraId="281F8016">
            <w:pPr>
              <w:spacing w:line="360" w:lineRule="auto"/>
              <w:rPr>
                <w:color w:val="000000"/>
                <w:szCs w:val="21"/>
                <w:lang w:eastAsia="zh-CN"/>
              </w:rPr>
            </w:pPr>
          </w:p>
        </w:tc>
        <w:tc>
          <w:tcPr>
            <w:tcW w:w="4643" w:type="dxa"/>
          </w:tcPr>
          <w:p w14:paraId="5B8197AB">
            <w:pPr>
              <w:spacing w:line="360" w:lineRule="auto"/>
              <w:rPr>
                <w:color w:val="000000"/>
                <w:szCs w:val="21"/>
                <w:lang w:eastAsia="zh-CN"/>
              </w:rPr>
            </w:pPr>
          </w:p>
          <w:p w14:paraId="15A4667F">
            <w:pPr>
              <w:spacing w:line="360" w:lineRule="auto"/>
              <w:jc w:val="center"/>
              <w:rPr>
                <w:color w:val="000000"/>
                <w:szCs w:val="21"/>
              </w:rPr>
            </w:pPr>
            <w:r>
              <w:rPr>
                <w:rFonts w:hint="eastAsia"/>
                <w:color w:val="000000"/>
                <w:szCs w:val="21"/>
              </w:rPr>
              <w:t>（反面）</w:t>
            </w:r>
          </w:p>
        </w:tc>
      </w:tr>
    </w:tbl>
    <w:p w14:paraId="247BAA70">
      <w:pPr>
        <w:pStyle w:val="17"/>
        <w:rPr>
          <w:color w:val="0000FF"/>
          <w:kern w:val="2"/>
        </w:rPr>
      </w:pPr>
    </w:p>
    <w:p w14:paraId="374663DA">
      <w:pPr>
        <w:pStyle w:val="17"/>
        <w:jc w:val="center"/>
        <w:rPr>
          <w:color w:val="0000FF"/>
          <w:kern w:val="2"/>
        </w:rPr>
      </w:pPr>
    </w:p>
    <w:p w14:paraId="227181E2">
      <w:pPr>
        <w:spacing w:line="500" w:lineRule="exact"/>
        <w:jc w:val="both"/>
        <w:rPr>
          <w:sz w:val="24"/>
          <w:szCs w:val="24"/>
          <w:lang w:eastAsia="zh-CN"/>
        </w:rPr>
      </w:pPr>
      <w:r>
        <w:rPr>
          <w:rFonts w:hint="eastAsia"/>
          <w:sz w:val="24"/>
          <w:szCs w:val="24"/>
          <w:lang w:eastAsia="zh-CN"/>
        </w:rPr>
        <w:t>附件4、</w:t>
      </w:r>
    </w:p>
    <w:p w14:paraId="77906CDA">
      <w:pPr>
        <w:pStyle w:val="17"/>
      </w:pPr>
    </w:p>
    <w:p w14:paraId="7AACD869">
      <w:pPr>
        <w:pStyle w:val="17"/>
      </w:pPr>
    </w:p>
    <w:p w14:paraId="53F71FAA">
      <w:pPr>
        <w:pStyle w:val="21"/>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14:paraId="4A86AFC6">
      <w:pPr>
        <w:spacing w:line="500" w:lineRule="exact"/>
        <w:rPr>
          <w:sz w:val="24"/>
          <w:lang w:eastAsia="zh-CN"/>
        </w:rPr>
      </w:pPr>
      <w:r>
        <w:rPr>
          <w:rFonts w:hint="eastAsia"/>
          <w:sz w:val="24"/>
          <w:lang w:eastAsia="zh-CN"/>
        </w:rPr>
        <w:t>致：福建福化古雷石油化工有限公司</w:t>
      </w:r>
    </w:p>
    <w:p w14:paraId="2C1211CD">
      <w:pPr>
        <w:spacing w:line="500" w:lineRule="exact"/>
        <w:ind w:firstLine="480" w:firstLineChars="200"/>
        <w:rPr>
          <w:sz w:val="24"/>
          <w:lang w:eastAsia="zh-CN"/>
        </w:rPr>
      </w:pPr>
      <w:r>
        <w:rPr>
          <w:rFonts w:hint="eastAsia"/>
          <w:sz w:val="24"/>
          <w:lang w:eastAsia="zh-CN"/>
        </w:rPr>
        <w:t>我公司对</w:t>
      </w:r>
      <w:r>
        <w:rPr>
          <w:rFonts w:hint="eastAsia" w:asciiTheme="majorEastAsia" w:hAnsiTheme="majorEastAsia" w:eastAsiaTheme="majorEastAsia"/>
          <w:sz w:val="24"/>
          <w:szCs w:val="24"/>
          <w:u w:val="single"/>
          <w:lang w:eastAsia="zh-CN"/>
        </w:rPr>
        <w:t xml:space="preserve"> 福建能化集团</w:t>
      </w:r>
      <w:r>
        <w:rPr>
          <w:rFonts w:hint="eastAsia"/>
          <w:bCs/>
          <w:sz w:val="24"/>
          <w:szCs w:val="24"/>
          <w:u w:val="single"/>
          <w:lang w:eastAsia="zh-CN"/>
        </w:rPr>
        <w:t>福化古雷运营中心项目一期工程基坑支护工程监测服务</w:t>
      </w:r>
      <w:r>
        <w:rPr>
          <w:rFonts w:hint="eastAsia" w:asciiTheme="majorEastAsia" w:hAnsiTheme="majorEastAsia" w:eastAsiaTheme="major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14:paraId="4C41BB44">
      <w:pPr>
        <w:spacing w:line="500" w:lineRule="exact"/>
        <w:ind w:firstLine="480" w:firstLineChars="200"/>
        <w:rPr>
          <w:sz w:val="24"/>
          <w:lang w:eastAsia="zh-CN"/>
        </w:rPr>
      </w:pPr>
      <w:r>
        <w:rPr>
          <w:rFonts w:hint="eastAsia"/>
          <w:sz w:val="24"/>
          <w:lang w:eastAsia="zh-CN"/>
        </w:rPr>
        <w:t>1、我公司将按照用户需求至上原则，保证提供优质的服务。</w:t>
      </w:r>
    </w:p>
    <w:p w14:paraId="10B9F8B9">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14:paraId="49877C97">
      <w:pPr>
        <w:pStyle w:val="17"/>
        <w:ind w:firstLine="601" w:firstLineChars="188"/>
        <w:rPr>
          <w:rFonts w:ascii="Times New Roman" w:hAnsi="Times New Roman" w:eastAsia="仿宋_GB2312"/>
          <w:kern w:val="2"/>
          <w:sz w:val="32"/>
          <w:szCs w:val="32"/>
        </w:rPr>
      </w:pPr>
    </w:p>
    <w:p w14:paraId="6DC38D36">
      <w:pPr>
        <w:snapToGrid w:val="0"/>
        <w:spacing w:line="360" w:lineRule="auto"/>
        <w:rPr>
          <w:sz w:val="24"/>
          <w:szCs w:val="24"/>
          <w:lang w:eastAsia="zh-CN"/>
        </w:rPr>
      </w:pPr>
      <w:r>
        <w:rPr>
          <w:sz w:val="24"/>
          <w:szCs w:val="24"/>
          <w:lang w:eastAsia="zh-CN"/>
        </w:rPr>
        <w:t xml:space="preserve">               </w:t>
      </w:r>
    </w:p>
    <w:p w14:paraId="020D4117">
      <w:pPr>
        <w:rPr>
          <w:color w:val="000000"/>
          <w:sz w:val="24"/>
          <w:szCs w:val="24"/>
          <w:lang w:eastAsia="zh-CN"/>
        </w:rPr>
      </w:pPr>
    </w:p>
    <w:p w14:paraId="5186B532">
      <w:pPr>
        <w:pStyle w:val="17"/>
        <w:jc w:val="center"/>
        <w:rPr>
          <w:color w:val="4E6127"/>
        </w:rPr>
      </w:pPr>
      <w:r>
        <w:rPr>
          <w:rFonts w:hint="eastAsia"/>
          <w:sz w:val="24"/>
          <w:szCs w:val="24"/>
        </w:rPr>
        <w:t xml:space="preserve">  单位名称：</w:t>
      </w:r>
      <w:r>
        <w:rPr>
          <w:rFonts w:hint="eastAsia" w:hAnsi="宋体"/>
          <w:color w:val="00B050"/>
          <w:kern w:val="2"/>
          <w:sz w:val="28"/>
          <w:szCs w:val="28"/>
        </w:rPr>
        <w:t>（公章）</w:t>
      </w:r>
    </w:p>
    <w:p w14:paraId="37E20E97">
      <w:pPr>
        <w:pStyle w:val="17"/>
        <w:jc w:val="center"/>
        <w:rPr>
          <w:color w:val="4E6127"/>
        </w:rPr>
      </w:pPr>
    </w:p>
    <w:p w14:paraId="76569603">
      <w:pPr>
        <w:pStyle w:val="17"/>
        <w:jc w:val="center"/>
      </w:pPr>
    </w:p>
    <w:p w14:paraId="72C5E527">
      <w:pPr>
        <w:pStyle w:val="17"/>
      </w:pPr>
    </w:p>
    <w:p w14:paraId="2CF4F0F2">
      <w:pPr>
        <w:pStyle w:val="17"/>
      </w:pPr>
    </w:p>
    <w:p w14:paraId="4BCC3D6B">
      <w:pPr>
        <w:pStyle w:val="17"/>
      </w:pPr>
    </w:p>
    <w:p w14:paraId="755D12FA">
      <w:pPr>
        <w:pStyle w:val="17"/>
      </w:pPr>
    </w:p>
    <w:p w14:paraId="0EADEA3F">
      <w:pPr>
        <w:pStyle w:val="17"/>
      </w:pPr>
    </w:p>
    <w:p w14:paraId="41003C3E">
      <w:pPr>
        <w:pStyle w:val="17"/>
      </w:pPr>
    </w:p>
    <w:p w14:paraId="4113E9B2">
      <w:pPr>
        <w:pStyle w:val="17"/>
      </w:pPr>
    </w:p>
    <w:p w14:paraId="33F91CF8">
      <w:pPr>
        <w:pStyle w:val="17"/>
      </w:pPr>
    </w:p>
    <w:p w14:paraId="76D91E9F">
      <w:pPr>
        <w:pStyle w:val="17"/>
      </w:pPr>
    </w:p>
    <w:p w14:paraId="0278B360">
      <w:pPr>
        <w:pStyle w:val="17"/>
      </w:pPr>
    </w:p>
    <w:p w14:paraId="6B8615DB">
      <w:pPr>
        <w:pStyle w:val="17"/>
      </w:pPr>
    </w:p>
    <w:p w14:paraId="1201644E">
      <w:pPr>
        <w:spacing w:line="500" w:lineRule="exact"/>
        <w:jc w:val="both"/>
        <w:rPr>
          <w:sz w:val="24"/>
          <w:szCs w:val="24"/>
          <w:lang w:eastAsia="zh-CN"/>
        </w:rPr>
      </w:pPr>
      <w:r>
        <w:rPr>
          <w:rFonts w:hint="eastAsia"/>
          <w:sz w:val="24"/>
          <w:szCs w:val="24"/>
          <w:lang w:eastAsia="zh-CN"/>
        </w:rPr>
        <w:t>附件5、</w:t>
      </w:r>
    </w:p>
    <w:p w14:paraId="5A71C48C">
      <w:pPr>
        <w:pStyle w:val="21"/>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14:paraId="598E223F">
      <w:pPr>
        <w:jc w:val="center"/>
        <w:rPr>
          <w:b/>
          <w:sz w:val="36"/>
          <w:szCs w:val="36"/>
          <w:lang w:eastAsia="zh-CN"/>
        </w:rPr>
      </w:pPr>
      <w:r>
        <w:rPr>
          <w:rFonts w:hint="eastAsia"/>
          <w:b/>
          <w:sz w:val="36"/>
          <w:szCs w:val="36"/>
          <w:lang w:eastAsia="zh-CN"/>
        </w:rPr>
        <w:t>报 价 单</w:t>
      </w:r>
    </w:p>
    <w:p w14:paraId="3CC4C099">
      <w:pPr>
        <w:pStyle w:val="21"/>
        <w:spacing w:beforeLines="0" w:afterLines="0" w:line="240" w:lineRule="auto"/>
        <w:ind w:firstLine="413" w:firstLineChars="147"/>
        <w:rPr>
          <w:rFonts w:ascii="Times New Roman" w:hAnsi="Times New Roman" w:cs="Times New Roman"/>
          <w:b/>
          <w:lang w:eastAsia="zh-CN"/>
        </w:rPr>
      </w:pPr>
      <w:r>
        <w:rPr>
          <w:rFonts w:hint="eastAsia" w:ascii="Times New Roman" w:hAnsi="Times New Roman" w:cs="Times New Roman"/>
          <w:b/>
          <w:color w:val="FF0000"/>
          <w:lang w:eastAsia="zh-CN"/>
        </w:rPr>
        <w:t>（注：本报价单和附表需单独盖章密封）</w:t>
      </w:r>
    </w:p>
    <w:p w14:paraId="631D9522">
      <w:pPr>
        <w:ind w:firstLine="1970" w:firstLineChars="545"/>
        <w:rPr>
          <w:b/>
          <w:bCs/>
          <w:sz w:val="36"/>
          <w:lang w:eastAsia="zh-CN"/>
        </w:rPr>
      </w:pPr>
      <w:r>
        <w:rPr>
          <w:rFonts w:hint="eastAsia"/>
          <w:b/>
          <w:bCs/>
          <w:sz w:val="36"/>
          <w:lang w:eastAsia="zh-CN"/>
        </w:rPr>
        <w:t xml:space="preserve">   </w:t>
      </w:r>
    </w:p>
    <w:p w14:paraId="00EF143E">
      <w:pPr>
        <w:ind w:firstLine="560" w:firstLineChars="200"/>
        <w:rPr>
          <w:sz w:val="28"/>
          <w:u w:val="single"/>
          <w:lang w:eastAsia="zh-CN"/>
        </w:rPr>
      </w:pPr>
      <w:r>
        <w:rPr>
          <w:rFonts w:hint="eastAsia"/>
          <w:sz w:val="28"/>
          <w:lang w:eastAsia="zh-CN"/>
        </w:rPr>
        <w:t>参选单位：</w:t>
      </w:r>
      <w:r>
        <w:rPr>
          <w:sz w:val="36"/>
          <w:lang w:eastAsia="zh-CN"/>
        </w:rPr>
        <w:t xml:space="preserve"> ____________________</w:t>
      </w:r>
    </w:p>
    <w:p w14:paraId="6EE84EA9">
      <w:pPr>
        <w:ind w:firstLine="560" w:firstLineChars="200"/>
        <w:rPr>
          <w:sz w:val="28"/>
          <w:u w:val="single"/>
          <w:lang w:eastAsia="zh-CN"/>
        </w:rPr>
      </w:pPr>
      <w:r>
        <w:rPr>
          <w:rFonts w:hint="eastAsia"/>
          <w:sz w:val="28"/>
          <w:lang w:eastAsia="zh-CN"/>
        </w:rPr>
        <w:t xml:space="preserve">项目名称： </w:t>
      </w:r>
      <w:r>
        <w:rPr>
          <w:rFonts w:hint="eastAsia"/>
          <w:bCs/>
          <w:sz w:val="24"/>
          <w:szCs w:val="24"/>
          <w:u w:val="single"/>
          <w:lang w:eastAsia="zh-CN"/>
        </w:rPr>
        <w:t>福建能化集团福化古雷运营中心项目一期工程基坑支护工程监测服务</w:t>
      </w:r>
    </w:p>
    <w:p w14:paraId="611E95D1">
      <w:pPr>
        <w:ind w:firstLine="560" w:firstLineChars="200"/>
        <w:rPr>
          <w:sz w:val="28"/>
          <w:lang w:eastAsia="zh-CN"/>
        </w:rPr>
      </w:pPr>
      <w:r>
        <w:rPr>
          <w:rFonts w:hint="eastAsia"/>
          <w:sz w:val="28"/>
          <w:lang w:eastAsia="zh-CN"/>
        </w:rPr>
        <w:t>参选报价：</w:t>
      </w:r>
    </w:p>
    <w:p w14:paraId="6D665202">
      <w:pPr>
        <w:ind w:firstLine="1540" w:firstLineChars="550"/>
        <w:rPr>
          <w:b/>
          <w:color w:val="00B050"/>
          <w:sz w:val="28"/>
          <w:szCs w:val="28"/>
          <w:u w:val="single"/>
          <w:lang w:eastAsia="zh-CN"/>
        </w:rPr>
      </w:pPr>
      <w:r>
        <w:rPr>
          <w:rFonts w:hint="eastAsia"/>
          <w:sz w:val="28"/>
          <w:szCs w:val="28"/>
          <w:lang w:eastAsia="zh-CN"/>
        </w:rPr>
        <w:t xml:space="preserve">报价: </w:t>
      </w:r>
      <w:r>
        <w:rPr>
          <w:rFonts w:hint="eastAsia"/>
          <w:sz w:val="28"/>
          <w:szCs w:val="28"/>
          <w:u w:val="single"/>
          <w:lang w:eastAsia="zh-CN"/>
        </w:rPr>
        <w:t xml:space="preserve">         元 </w:t>
      </w:r>
    </w:p>
    <w:p w14:paraId="096503D3">
      <w:pPr>
        <w:pStyle w:val="17"/>
        <w:spacing w:line="240" w:lineRule="auto"/>
        <w:rPr>
          <w:sz w:val="28"/>
          <w:szCs w:val="28"/>
        </w:rPr>
      </w:pPr>
      <w:r>
        <w:rPr>
          <w:rFonts w:hint="eastAsia"/>
          <w:sz w:val="28"/>
          <w:szCs w:val="28"/>
        </w:rPr>
        <w:t xml:space="preserve">            </w:t>
      </w:r>
    </w:p>
    <w:p w14:paraId="03507B1D">
      <w:pPr>
        <w:ind w:firstLine="840" w:firstLineChars="300"/>
        <w:rPr>
          <w:sz w:val="28"/>
          <w:szCs w:val="28"/>
          <w:lang w:eastAsia="zh-CN"/>
        </w:rPr>
      </w:pPr>
      <w:r>
        <w:rPr>
          <w:rFonts w:hint="eastAsia"/>
          <w:sz w:val="28"/>
          <w:szCs w:val="28"/>
          <w:lang w:eastAsia="zh-CN"/>
        </w:rPr>
        <w:t>注： 1、价格为含税价，税率：</w:t>
      </w:r>
      <w:r>
        <w:rPr>
          <w:rFonts w:hint="eastAsia"/>
          <w:sz w:val="28"/>
          <w:szCs w:val="28"/>
          <w:u w:val="single"/>
          <w:lang w:eastAsia="zh-CN"/>
        </w:rPr>
        <w:t xml:space="preserve">    %  </w:t>
      </w:r>
      <w:r>
        <w:rPr>
          <w:rFonts w:hint="eastAsia"/>
          <w:sz w:val="28"/>
          <w:szCs w:val="28"/>
          <w:lang w:eastAsia="zh-CN"/>
        </w:rPr>
        <w:t xml:space="preserve"> ；</w:t>
      </w:r>
    </w:p>
    <w:p w14:paraId="418FC99F">
      <w:pPr>
        <w:pStyle w:val="17"/>
        <w:spacing w:line="240" w:lineRule="auto"/>
        <w:rPr>
          <w:sz w:val="28"/>
          <w:szCs w:val="28"/>
        </w:rPr>
      </w:pPr>
      <w:r>
        <w:rPr>
          <w:rFonts w:hint="eastAsia"/>
          <w:sz w:val="28"/>
          <w:szCs w:val="28"/>
        </w:rPr>
        <w:t xml:space="preserve">           2、付款方式：</w:t>
      </w:r>
      <w:r>
        <w:rPr>
          <w:rFonts w:hint="eastAsia"/>
          <w:sz w:val="28"/>
          <w:szCs w:val="28"/>
          <w:u w:val="single"/>
        </w:rPr>
        <w:t xml:space="preserve">                 </w:t>
      </w:r>
      <w:r>
        <w:rPr>
          <w:rFonts w:hint="eastAsia"/>
          <w:sz w:val="28"/>
          <w:szCs w:val="28"/>
        </w:rPr>
        <w:t>；</w:t>
      </w:r>
    </w:p>
    <w:p w14:paraId="4436BA8C">
      <w:pPr>
        <w:pStyle w:val="17"/>
        <w:spacing w:line="240" w:lineRule="auto"/>
        <w:rPr>
          <w:sz w:val="28"/>
          <w:szCs w:val="28"/>
          <w:u w:val="single"/>
        </w:rPr>
      </w:pPr>
      <w:r>
        <w:rPr>
          <w:rFonts w:hint="eastAsia"/>
          <w:sz w:val="28"/>
          <w:szCs w:val="28"/>
        </w:rPr>
        <w:t xml:space="preserve">           3、服务期限：</w:t>
      </w:r>
      <w:r>
        <w:rPr>
          <w:rFonts w:hint="eastAsia"/>
          <w:sz w:val="28"/>
          <w:szCs w:val="28"/>
          <w:u w:val="single"/>
        </w:rPr>
        <w:t xml:space="preserve">                 </w:t>
      </w:r>
    </w:p>
    <w:p w14:paraId="029F58EA">
      <w:pPr>
        <w:pStyle w:val="17"/>
        <w:spacing w:line="240" w:lineRule="auto"/>
        <w:ind w:firstLine="560" w:firstLineChars="20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14:paraId="3622CA7F">
      <w:pPr>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6FBF3A89">
      <w:pPr>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3586CB">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9"/>
    </w:p>
    <w:sectPr>
      <w:footerReference r:id="rId4" w:type="default"/>
      <w:pgSz w:w="11910" w:h="16840"/>
      <w:pgMar w:top="851" w:right="851" w:bottom="851" w:left="1418" w:header="0" w:footer="5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6F009">
    <w:pPr>
      <w:pStyle w:val="5"/>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1905" r="3810" b="0"/>
              <wp:wrapNone/>
              <wp:docPr id="1"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14:paraId="4C365B93">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 id="Text Box 1026" o:spid="_x0000_s1026"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g6cVe2QAAAA0BAAAPAAAAAAAAAAEAIAAAACIAAABkcnMvZG93bnJl&#10;di54bWxQSwECFAAUAAAACACHTuJAtTUG/fwBAAAGBAAADgAAAAAAAAABACAAAAAoAQAAZHJzL2Uy&#10;b0RvYy54bWxQSwUGAAAAAAYABgBZAQAAlgUAAAAA&#10;">
              <v:fill on="f" focussize="0,0"/>
              <v:stroke on="f"/>
              <v:imagedata o:title=""/>
              <o:lock v:ext="edit" aspectratio="f"/>
              <v:textbox inset="0mm,0mm,0mm,0mm">
                <w:txbxContent>
                  <w:p w14:paraId="4C365B93">
                    <w:pPr>
                      <w:spacing w:line="219" w:lineRule="exact"/>
                      <w:ind w:left="2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AA8FE">
    <w:pPr>
      <w:pStyle w:val="5"/>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17DB0"/>
    <w:multiLevelType w:val="multilevel"/>
    <w:tmpl w:val="14117DB0"/>
    <w:lvl w:ilvl="0" w:tentative="0">
      <w:start w:val="1"/>
      <w:numFmt w:val="japaneseCounting"/>
      <w:lvlText w:val="%1、"/>
      <w:lvlJc w:val="left"/>
      <w:pPr>
        <w:ind w:left="1258" w:hanging="720"/>
      </w:pPr>
      <w:rPr>
        <w:rFonts w:hint="default"/>
      </w:r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
    <w:nsid w:val="2D11357F"/>
    <w:multiLevelType w:val="singleLevel"/>
    <w:tmpl w:val="2D11357F"/>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yNzY2M2Q0NjU3OTVmNmUyNDMwMWI2ZGE4YjY3MmMifQ=="/>
  </w:docVars>
  <w:rsids>
    <w:rsidRoot w:val="00967702"/>
    <w:rsid w:val="00020C9A"/>
    <w:rsid w:val="000248EF"/>
    <w:rsid w:val="00044E6D"/>
    <w:rsid w:val="00054C3E"/>
    <w:rsid w:val="00062313"/>
    <w:rsid w:val="00075F90"/>
    <w:rsid w:val="000827A0"/>
    <w:rsid w:val="00082A22"/>
    <w:rsid w:val="000B630D"/>
    <w:rsid w:val="000C1FD3"/>
    <w:rsid w:val="000C3751"/>
    <w:rsid w:val="000D32E2"/>
    <w:rsid w:val="000D41D6"/>
    <w:rsid w:val="000D4D82"/>
    <w:rsid w:val="000E3AD8"/>
    <w:rsid w:val="000F3B3E"/>
    <w:rsid w:val="0010118C"/>
    <w:rsid w:val="00103457"/>
    <w:rsid w:val="001046E0"/>
    <w:rsid w:val="0010675F"/>
    <w:rsid w:val="00144B4E"/>
    <w:rsid w:val="0015787E"/>
    <w:rsid w:val="001629EC"/>
    <w:rsid w:val="00191802"/>
    <w:rsid w:val="00193817"/>
    <w:rsid w:val="001A2748"/>
    <w:rsid w:val="001B47BF"/>
    <w:rsid w:val="001B698B"/>
    <w:rsid w:val="001E2520"/>
    <w:rsid w:val="001E6B4E"/>
    <w:rsid w:val="00215D30"/>
    <w:rsid w:val="0022016D"/>
    <w:rsid w:val="0022717E"/>
    <w:rsid w:val="00227556"/>
    <w:rsid w:val="00235C2A"/>
    <w:rsid w:val="00235EC3"/>
    <w:rsid w:val="002373F3"/>
    <w:rsid w:val="00245C4E"/>
    <w:rsid w:val="00254651"/>
    <w:rsid w:val="00260302"/>
    <w:rsid w:val="00260C9D"/>
    <w:rsid w:val="0027020B"/>
    <w:rsid w:val="0029525B"/>
    <w:rsid w:val="00295B59"/>
    <w:rsid w:val="002C12E0"/>
    <w:rsid w:val="002C794A"/>
    <w:rsid w:val="002D07A9"/>
    <w:rsid w:val="002D7B4B"/>
    <w:rsid w:val="002E46AF"/>
    <w:rsid w:val="00321AAF"/>
    <w:rsid w:val="00322549"/>
    <w:rsid w:val="00322FA1"/>
    <w:rsid w:val="00341823"/>
    <w:rsid w:val="00376CE1"/>
    <w:rsid w:val="00381044"/>
    <w:rsid w:val="00387099"/>
    <w:rsid w:val="003C6281"/>
    <w:rsid w:val="003D68E3"/>
    <w:rsid w:val="003D7661"/>
    <w:rsid w:val="003E4E63"/>
    <w:rsid w:val="003F7CE7"/>
    <w:rsid w:val="00402400"/>
    <w:rsid w:val="0040417A"/>
    <w:rsid w:val="00421627"/>
    <w:rsid w:val="00446BCF"/>
    <w:rsid w:val="00452278"/>
    <w:rsid w:val="00452289"/>
    <w:rsid w:val="00457D53"/>
    <w:rsid w:val="00467513"/>
    <w:rsid w:val="00467CED"/>
    <w:rsid w:val="0047282D"/>
    <w:rsid w:val="004835AF"/>
    <w:rsid w:val="004A3FAD"/>
    <w:rsid w:val="004F5293"/>
    <w:rsid w:val="004F6EF2"/>
    <w:rsid w:val="00525F14"/>
    <w:rsid w:val="005461F1"/>
    <w:rsid w:val="005500D0"/>
    <w:rsid w:val="00561CB3"/>
    <w:rsid w:val="00580170"/>
    <w:rsid w:val="00595F8F"/>
    <w:rsid w:val="005B4BA0"/>
    <w:rsid w:val="005D12E3"/>
    <w:rsid w:val="005E1D2E"/>
    <w:rsid w:val="005F7CAD"/>
    <w:rsid w:val="00605340"/>
    <w:rsid w:val="00620B24"/>
    <w:rsid w:val="00631705"/>
    <w:rsid w:val="006365D2"/>
    <w:rsid w:val="00643B6F"/>
    <w:rsid w:val="00650B0F"/>
    <w:rsid w:val="006510CC"/>
    <w:rsid w:val="00674062"/>
    <w:rsid w:val="00674766"/>
    <w:rsid w:val="00685693"/>
    <w:rsid w:val="00685A36"/>
    <w:rsid w:val="006A6DAF"/>
    <w:rsid w:val="006B060A"/>
    <w:rsid w:val="006D3937"/>
    <w:rsid w:val="0070126F"/>
    <w:rsid w:val="00702A99"/>
    <w:rsid w:val="00704862"/>
    <w:rsid w:val="00707D16"/>
    <w:rsid w:val="007265B0"/>
    <w:rsid w:val="00734945"/>
    <w:rsid w:val="00742E42"/>
    <w:rsid w:val="00746429"/>
    <w:rsid w:val="00746559"/>
    <w:rsid w:val="00747ECA"/>
    <w:rsid w:val="007641DE"/>
    <w:rsid w:val="007834F9"/>
    <w:rsid w:val="007921F4"/>
    <w:rsid w:val="007A7F5A"/>
    <w:rsid w:val="007E1DBC"/>
    <w:rsid w:val="007F6141"/>
    <w:rsid w:val="0080743A"/>
    <w:rsid w:val="00807C3C"/>
    <w:rsid w:val="00867275"/>
    <w:rsid w:val="00873D0A"/>
    <w:rsid w:val="00884958"/>
    <w:rsid w:val="0088574D"/>
    <w:rsid w:val="008876D4"/>
    <w:rsid w:val="0089582C"/>
    <w:rsid w:val="008C15D9"/>
    <w:rsid w:val="008F395B"/>
    <w:rsid w:val="008F43DC"/>
    <w:rsid w:val="00914962"/>
    <w:rsid w:val="00926559"/>
    <w:rsid w:val="009312CA"/>
    <w:rsid w:val="00954536"/>
    <w:rsid w:val="00967702"/>
    <w:rsid w:val="00970ABE"/>
    <w:rsid w:val="0097131F"/>
    <w:rsid w:val="00982D6A"/>
    <w:rsid w:val="009B3DA9"/>
    <w:rsid w:val="009B507A"/>
    <w:rsid w:val="009C5960"/>
    <w:rsid w:val="009D3075"/>
    <w:rsid w:val="009E324F"/>
    <w:rsid w:val="009E354E"/>
    <w:rsid w:val="009E5808"/>
    <w:rsid w:val="009F2617"/>
    <w:rsid w:val="009F4AC1"/>
    <w:rsid w:val="00A06849"/>
    <w:rsid w:val="00A1293A"/>
    <w:rsid w:val="00A12C2C"/>
    <w:rsid w:val="00A305C9"/>
    <w:rsid w:val="00A33476"/>
    <w:rsid w:val="00A44E5A"/>
    <w:rsid w:val="00A54719"/>
    <w:rsid w:val="00A56063"/>
    <w:rsid w:val="00A571C0"/>
    <w:rsid w:val="00A84167"/>
    <w:rsid w:val="00A9788B"/>
    <w:rsid w:val="00AA15FD"/>
    <w:rsid w:val="00AB1229"/>
    <w:rsid w:val="00AB2654"/>
    <w:rsid w:val="00AC0076"/>
    <w:rsid w:val="00AC5545"/>
    <w:rsid w:val="00AC759E"/>
    <w:rsid w:val="00AE540F"/>
    <w:rsid w:val="00AE7B3F"/>
    <w:rsid w:val="00B16DFF"/>
    <w:rsid w:val="00B25D73"/>
    <w:rsid w:val="00B37465"/>
    <w:rsid w:val="00B4301E"/>
    <w:rsid w:val="00B448B4"/>
    <w:rsid w:val="00B44FC3"/>
    <w:rsid w:val="00B5723E"/>
    <w:rsid w:val="00B63F98"/>
    <w:rsid w:val="00B75985"/>
    <w:rsid w:val="00B803B3"/>
    <w:rsid w:val="00B87975"/>
    <w:rsid w:val="00B92378"/>
    <w:rsid w:val="00B95C11"/>
    <w:rsid w:val="00BA452D"/>
    <w:rsid w:val="00BA56AC"/>
    <w:rsid w:val="00BB7BD5"/>
    <w:rsid w:val="00BC7A60"/>
    <w:rsid w:val="00BD7F84"/>
    <w:rsid w:val="00BE08F6"/>
    <w:rsid w:val="00C0622C"/>
    <w:rsid w:val="00C133A8"/>
    <w:rsid w:val="00C238FE"/>
    <w:rsid w:val="00C46972"/>
    <w:rsid w:val="00C533BE"/>
    <w:rsid w:val="00C57D4A"/>
    <w:rsid w:val="00C6131D"/>
    <w:rsid w:val="00C618E5"/>
    <w:rsid w:val="00C74089"/>
    <w:rsid w:val="00C87A27"/>
    <w:rsid w:val="00CB2E01"/>
    <w:rsid w:val="00CE1FBD"/>
    <w:rsid w:val="00CE5691"/>
    <w:rsid w:val="00CF74B9"/>
    <w:rsid w:val="00D15A84"/>
    <w:rsid w:val="00D22E92"/>
    <w:rsid w:val="00D2392F"/>
    <w:rsid w:val="00D239EF"/>
    <w:rsid w:val="00D37E8E"/>
    <w:rsid w:val="00D440EF"/>
    <w:rsid w:val="00D47E50"/>
    <w:rsid w:val="00D749CB"/>
    <w:rsid w:val="00D82ABD"/>
    <w:rsid w:val="00D87F63"/>
    <w:rsid w:val="00D947D8"/>
    <w:rsid w:val="00D9632D"/>
    <w:rsid w:val="00DC1121"/>
    <w:rsid w:val="00DC22FC"/>
    <w:rsid w:val="00DC3BF2"/>
    <w:rsid w:val="00DD56C2"/>
    <w:rsid w:val="00DF72CD"/>
    <w:rsid w:val="00E13998"/>
    <w:rsid w:val="00E55109"/>
    <w:rsid w:val="00E74211"/>
    <w:rsid w:val="00E911A8"/>
    <w:rsid w:val="00E948B8"/>
    <w:rsid w:val="00E95ACA"/>
    <w:rsid w:val="00E95E0C"/>
    <w:rsid w:val="00E976A2"/>
    <w:rsid w:val="00EC73B7"/>
    <w:rsid w:val="00EC7B58"/>
    <w:rsid w:val="00EE5A05"/>
    <w:rsid w:val="00EE60EB"/>
    <w:rsid w:val="00EF2B8B"/>
    <w:rsid w:val="00F41B1E"/>
    <w:rsid w:val="00F6409E"/>
    <w:rsid w:val="00F66F5D"/>
    <w:rsid w:val="00F723DA"/>
    <w:rsid w:val="00F81188"/>
    <w:rsid w:val="00F81B59"/>
    <w:rsid w:val="00F87131"/>
    <w:rsid w:val="00F95F2C"/>
    <w:rsid w:val="00FA4745"/>
    <w:rsid w:val="00FB6F07"/>
    <w:rsid w:val="00FC571D"/>
    <w:rsid w:val="00FE335E"/>
    <w:rsid w:val="00FE4F90"/>
    <w:rsid w:val="00FF1A9C"/>
    <w:rsid w:val="0367315B"/>
    <w:rsid w:val="03B92498"/>
    <w:rsid w:val="05905B2D"/>
    <w:rsid w:val="061139E5"/>
    <w:rsid w:val="06F50B00"/>
    <w:rsid w:val="076E1278"/>
    <w:rsid w:val="08D1141D"/>
    <w:rsid w:val="0B296DE2"/>
    <w:rsid w:val="0F0B5986"/>
    <w:rsid w:val="10294AA3"/>
    <w:rsid w:val="10E40CA0"/>
    <w:rsid w:val="12D4170A"/>
    <w:rsid w:val="136130D9"/>
    <w:rsid w:val="18DD4F7E"/>
    <w:rsid w:val="195B58A2"/>
    <w:rsid w:val="1D2B6F84"/>
    <w:rsid w:val="1D9B621A"/>
    <w:rsid w:val="1E085A14"/>
    <w:rsid w:val="1E3267E7"/>
    <w:rsid w:val="1FF43DDB"/>
    <w:rsid w:val="21933AA2"/>
    <w:rsid w:val="219A1BE2"/>
    <w:rsid w:val="23911D29"/>
    <w:rsid w:val="25BF356F"/>
    <w:rsid w:val="25DB0C2D"/>
    <w:rsid w:val="269469E7"/>
    <w:rsid w:val="27F20346"/>
    <w:rsid w:val="29FC3B14"/>
    <w:rsid w:val="2B11792E"/>
    <w:rsid w:val="2D7B7CF2"/>
    <w:rsid w:val="302428C3"/>
    <w:rsid w:val="31624DF9"/>
    <w:rsid w:val="31C54755"/>
    <w:rsid w:val="3216608C"/>
    <w:rsid w:val="34CE14C6"/>
    <w:rsid w:val="34D84CEC"/>
    <w:rsid w:val="357734D1"/>
    <w:rsid w:val="37AF5AB7"/>
    <w:rsid w:val="39581B15"/>
    <w:rsid w:val="3B1C3371"/>
    <w:rsid w:val="3C4A434B"/>
    <w:rsid w:val="3CC23198"/>
    <w:rsid w:val="3DDF4815"/>
    <w:rsid w:val="3DFC6C2D"/>
    <w:rsid w:val="3FE669E5"/>
    <w:rsid w:val="4301247F"/>
    <w:rsid w:val="44FE14DD"/>
    <w:rsid w:val="4761585B"/>
    <w:rsid w:val="47A0687C"/>
    <w:rsid w:val="47D12ED9"/>
    <w:rsid w:val="50F63E28"/>
    <w:rsid w:val="512525ED"/>
    <w:rsid w:val="5221007F"/>
    <w:rsid w:val="52926B5A"/>
    <w:rsid w:val="545B7EFC"/>
    <w:rsid w:val="545C5E51"/>
    <w:rsid w:val="5486175B"/>
    <w:rsid w:val="56C468F0"/>
    <w:rsid w:val="57667D24"/>
    <w:rsid w:val="57CE5BC3"/>
    <w:rsid w:val="5ACC6335"/>
    <w:rsid w:val="5AE1516A"/>
    <w:rsid w:val="5B6A3A79"/>
    <w:rsid w:val="5BAB15B7"/>
    <w:rsid w:val="5C1A5F7B"/>
    <w:rsid w:val="5E7B3093"/>
    <w:rsid w:val="645771F8"/>
    <w:rsid w:val="689618A9"/>
    <w:rsid w:val="6A54112D"/>
    <w:rsid w:val="6AA035AE"/>
    <w:rsid w:val="6E0F2E14"/>
    <w:rsid w:val="6F1E141D"/>
    <w:rsid w:val="6F5354F8"/>
    <w:rsid w:val="6F8C4EB3"/>
    <w:rsid w:val="73FC458A"/>
    <w:rsid w:val="740A2BDE"/>
    <w:rsid w:val="751839E0"/>
    <w:rsid w:val="76274F93"/>
    <w:rsid w:val="79EB3F2F"/>
    <w:rsid w:val="7B11789E"/>
    <w:rsid w:val="7DC94A0A"/>
    <w:rsid w:val="7F976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24"/>
    <w:qFormat/>
    <w:uiPriority w:val="0"/>
    <w:pPr>
      <w:ind w:left="538"/>
      <w:outlineLvl w:val="0"/>
    </w:pPr>
    <w:rPr>
      <w:b/>
      <w:bCs/>
      <w:sz w:val="28"/>
      <w:szCs w:val="28"/>
    </w:rPr>
  </w:style>
  <w:style w:type="paragraph" w:styleId="3">
    <w:name w:val="heading 2"/>
    <w:basedOn w:val="1"/>
    <w:next w:val="1"/>
    <w:link w:val="26"/>
    <w:autoRedefine/>
    <w:qFormat/>
    <w:uiPriority w:val="0"/>
    <w:pPr>
      <w:ind w:left="629"/>
      <w:outlineLvl w:val="1"/>
    </w:pPr>
    <w:rPr>
      <w:b/>
      <w:bCs/>
      <w:sz w:val="24"/>
      <w:szCs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7"/>
    <w:autoRedefine/>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5">
    <w:name w:val="Body Text"/>
    <w:basedOn w:val="1"/>
    <w:link w:val="28"/>
    <w:autoRedefine/>
    <w:qFormat/>
    <w:uiPriority w:val="0"/>
    <w:rPr>
      <w:sz w:val="24"/>
      <w:szCs w:val="24"/>
    </w:rPr>
  </w:style>
  <w:style w:type="paragraph" w:styleId="6">
    <w:name w:val="Body Text Indent"/>
    <w:basedOn w:val="1"/>
    <w:link w:val="30"/>
    <w:autoRedefine/>
    <w:qFormat/>
    <w:uiPriority w:val="0"/>
    <w:pPr>
      <w:spacing w:after="120"/>
      <w:ind w:left="420" w:leftChars="200"/>
    </w:pPr>
  </w:style>
  <w:style w:type="paragraph" w:styleId="7">
    <w:name w:val="Plain Text"/>
    <w:basedOn w:val="1"/>
    <w:link w:val="22"/>
    <w:autoRedefine/>
    <w:qFormat/>
    <w:uiPriority w:val="99"/>
    <w:rPr>
      <w:rFonts w:hAnsi="Courier New" w:cs="Courier New"/>
      <w:szCs w:val="21"/>
    </w:rPr>
  </w:style>
  <w:style w:type="paragraph" w:styleId="8">
    <w:name w:val="footer"/>
    <w:basedOn w:val="1"/>
    <w:autoRedefine/>
    <w:qFormat/>
    <w:uiPriority w:val="0"/>
    <w:pPr>
      <w:tabs>
        <w:tab w:val="center" w:pos="4153"/>
        <w:tab w:val="right" w:pos="8306"/>
      </w:tabs>
      <w:snapToGrid w:val="0"/>
    </w:pPr>
    <w:rPr>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Normal (Web)"/>
    <w:basedOn w:val="1"/>
    <w:link w:val="37"/>
    <w:autoRedefine/>
    <w:unhideWhenUsed/>
    <w:qFormat/>
    <w:uiPriority w:val="99"/>
    <w:pPr>
      <w:widowControl/>
      <w:autoSpaceDE/>
      <w:autoSpaceDN/>
      <w:spacing w:before="100" w:beforeAutospacing="1" w:after="100" w:afterAutospacing="1"/>
    </w:pPr>
    <w:rPr>
      <w:sz w:val="24"/>
      <w:szCs w:val="24"/>
      <w:lang w:eastAsia="zh-CN"/>
    </w:rPr>
  </w:style>
  <w:style w:type="table" w:styleId="12">
    <w:name w:val="Table Grid"/>
    <w:basedOn w:val="11"/>
    <w:autoRedefine/>
    <w:qFormat/>
    <w:uiPriority w:val="5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autoRedefine/>
    <w:qFormat/>
    <w:uiPriority w:val="22"/>
    <w:rPr>
      <w:b/>
      <w:bCs/>
    </w:rPr>
  </w:style>
  <w:style w:type="character" w:styleId="15">
    <w:name w:val="Hyperlink"/>
    <w:basedOn w:val="13"/>
    <w:autoRedefine/>
    <w:qFormat/>
    <w:uiPriority w:val="99"/>
    <w:rPr>
      <w:color w:val="0000FF"/>
      <w:u w:val="single"/>
    </w:rPr>
  </w:style>
  <w:style w:type="character" w:styleId="16">
    <w:name w:val="HTML Code"/>
    <w:autoRedefine/>
    <w:unhideWhenUsed/>
    <w:qFormat/>
    <w:uiPriority w:val="99"/>
    <w:rPr>
      <w:rFonts w:ascii="Courier New" w:hAnsi="Courier New"/>
      <w:sz w:val="20"/>
    </w:rPr>
  </w:style>
  <w:style w:type="paragraph" w:customStyle="1" w:styleId="17">
    <w:name w:val="正文1"/>
    <w:link w:val="31"/>
    <w:autoRedefine/>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table" w:customStyle="1" w:styleId="18">
    <w:name w:val="Table Normal"/>
    <w:autoRedefine/>
    <w:semiHidden/>
    <w:unhideWhenUsed/>
    <w:qFormat/>
    <w:uiPriority w:val="2"/>
    <w:tblPr>
      <w:tblCellMar>
        <w:top w:w="0" w:type="dxa"/>
        <w:left w:w="0" w:type="dxa"/>
        <w:bottom w:w="0" w:type="dxa"/>
        <w:right w:w="0" w:type="dxa"/>
      </w:tblCellMar>
    </w:tblPr>
  </w:style>
  <w:style w:type="paragraph" w:styleId="19">
    <w:name w:val="List Paragraph"/>
    <w:basedOn w:val="1"/>
    <w:autoRedefine/>
    <w:qFormat/>
    <w:uiPriority w:val="34"/>
    <w:pPr>
      <w:spacing w:before="206"/>
      <w:ind w:left="959" w:hanging="361"/>
    </w:pPr>
  </w:style>
  <w:style w:type="paragraph" w:customStyle="1" w:styleId="20">
    <w:name w:val="Table Paragraph"/>
    <w:basedOn w:val="1"/>
    <w:autoRedefine/>
    <w:qFormat/>
    <w:uiPriority w:val="1"/>
  </w:style>
  <w:style w:type="paragraph" w:customStyle="1" w:styleId="21">
    <w:name w:val="文档正文"/>
    <w:basedOn w:val="1"/>
    <w:autoRedefine/>
    <w:qFormat/>
    <w:uiPriority w:val="0"/>
    <w:pPr>
      <w:spacing w:beforeLines="50" w:afterLines="50" w:line="360" w:lineRule="auto"/>
      <w:ind w:firstLine="560" w:firstLineChars="200"/>
    </w:pPr>
    <w:rPr>
      <w:rFonts w:cs="Arial"/>
      <w:bCs/>
      <w:sz w:val="28"/>
      <w:szCs w:val="28"/>
    </w:rPr>
  </w:style>
  <w:style w:type="character" w:customStyle="1" w:styleId="22">
    <w:name w:val="纯文本 字符"/>
    <w:basedOn w:val="13"/>
    <w:link w:val="7"/>
    <w:autoRedefine/>
    <w:qFormat/>
    <w:uiPriority w:val="99"/>
    <w:rPr>
      <w:rFonts w:ascii="宋体" w:hAnsi="Courier New" w:cs="Courier New"/>
      <w:sz w:val="22"/>
      <w:szCs w:val="21"/>
      <w:lang w:eastAsia="en-US"/>
    </w:rPr>
  </w:style>
  <w:style w:type="character" w:customStyle="1" w:styleId="23">
    <w:name w:val="font21"/>
    <w:autoRedefine/>
    <w:qFormat/>
    <w:uiPriority w:val="0"/>
    <w:rPr>
      <w:rFonts w:hint="eastAsia" w:ascii="宋体" w:hAnsi="宋体" w:eastAsia="宋体" w:cs="宋体"/>
      <w:color w:val="000000"/>
      <w:sz w:val="20"/>
      <w:szCs w:val="20"/>
      <w:u w:val="none"/>
    </w:rPr>
  </w:style>
  <w:style w:type="character" w:customStyle="1" w:styleId="24">
    <w:name w:val="标题 1 字符"/>
    <w:link w:val="2"/>
    <w:autoRedefine/>
    <w:qFormat/>
    <w:uiPriority w:val="9"/>
    <w:rPr>
      <w:rFonts w:ascii="宋体" w:hAnsi="宋体" w:cs="宋体"/>
      <w:b/>
      <w:bCs/>
      <w:sz w:val="28"/>
      <w:szCs w:val="28"/>
      <w:lang w:eastAsia="en-US"/>
    </w:rPr>
  </w:style>
  <w:style w:type="character" w:customStyle="1" w:styleId="25">
    <w:name w:val="apple-converted-space"/>
    <w:basedOn w:val="13"/>
    <w:autoRedefine/>
    <w:qFormat/>
    <w:uiPriority w:val="0"/>
  </w:style>
  <w:style w:type="character" w:customStyle="1" w:styleId="26">
    <w:name w:val="标题 2 字符"/>
    <w:basedOn w:val="13"/>
    <w:link w:val="3"/>
    <w:autoRedefine/>
    <w:qFormat/>
    <w:uiPriority w:val="0"/>
    <w:rPr>
      <w:rFonts w:ascii="宋体" w:hAnsi="宋体" w:cs="宋体"/>
      <w:b/>
      <w:bCs/>
      <w:sz w:val="24"/>
      <w:szCs w:val="24"/>
      <w:lang w:eastAsia="en-US"/>
    </w:rPr>
  </w:style>
  <w:style w:type="character" w:customStyle="1" w:styleId="27">
    <w:name w:val="正文缩进 字符"/>
    <w:link w:val="4"/>
    <w:autoRedefine/>
    <w:qFormat/>
    <w:uiPriority w:val="0"/>
    <w:rPr>
      <w:sz w:val="24"/>
    </w:rPr>
  </w:style>
  <w:style w:type="character" w:customStyle="1" w:styleId="28">
    <w:name w:val="正文文本 字符"/>
    <w:basedOn w:val="13"/>
    <w:link w:val="5"/>
    <w:autoRedefine/>
    <w:qFormat/>
    <w:uiPriority w:val="0"/>
    <w:rPr>
      <w:rFonts w:ascii="宋体" w:hAnsi="宋体" w:cs="宋体"/>
      <w:sz w:val="24"/>
      <w:szCs w:val="24"/>
      <w:lang w:eastAsia="en-US"/>
    </w:rPr>
  </w:style>
  <w:style w:type="character" w:customStyle="1" w:styleId="29">
    <w:name w:val="纯文本 Char1"/>
    <w:basedOn w:val="13"/>
    <w:autoRedefine/>
    <w:qFormat/>
    <w:uiPriority w:val="0"/>
    <w:rPr>
      <w:rFonts w:ascii="宋体" w:hAnsi="Courier New" w:cs="Courier New"/>
      <w:sz w:val="22"/>
      <w:szCs w:val="21"/>
      <w:lang w:eastAsia="en-US"/>
    </w:rPr>
  </w:style>
  <w:style w:type="character" w:customStyle="1" w:styleId="30">
    <w:name w:val="正文文本缩进 字符"/>
    <w:basedOn w:val="13"/>
    <w:link w:val="6"/>
    <w:autoRedefine/>
    <w:qFormat/>
    <w:uiPriority w:val="0"/>
    <w:rPr>
      <w:rFonts w:ascii="宋体" w:hAnsi="宋体" w:cs="宋体"/>
      <w:sz w:val="22"/>
      <w:szCs w:val="22"/>
      <w:lang w:eastAsia="en-US"/>
    </w:rPr>
  </w:style>
  <w:style w:type="character" w:customStyle="1" w:styleId="31">
    <w:name w:val="正文1 Char"/>
    <w:basedOn w:val="13"/>
    <w:link w:val="17"/>
    <w:autoRedefine/>
    <w:qFormat/>
    <w:locked/>
    <w:uiPriority w:val="0"/>
    <w:rPr>
      <w:rFonts w:ascii="宋体" w:hAnsi="Calibri"/>
      <w:sz w:val="34"/>
      <w:szCs w:val="22"/>
    </w:rPr>
  </w:style>
  <w:style w:type="paragraph" w:customStyle="1" w:styleId="32">
    <w:name w:val="标题 2 New New New New New New"/>
    <w:basedOn w:val="1"/>
    <w:next w:val="1"/>
    <w:autoRedefine/>
    <w:qFormat/>
    <w:uiPriority w:val="0"/>
    <w:pPr>
      <w:keepNext/>
      <w:keepLines/>
      <w:autoSpaceDE/>
      <w:autoSpaceDN/>
      <w:spacing w:before="260" w:after="260" w:line="416" w:lineRule="auto"/>
      <w:jc w:val="both"/>
      <w:outlineLvl w:val="1"/>
    </w:pPr>
    <w:rPr>
      <w:rFonts w:ascii="Arial" w:hAnsi="Arial" w:eastAsia="黑体" w:cs="Times New Roman"/>
      <w:b/>
      <w:bCs/>
      <w:kern w:val="2"/>
      <w:sz w:val="32"/>
      <w:szCs w:val="32"/>
      <w:lang w:eastAsia="zh-CN"/>
    </w:rPr>
  </w:style>
  <w:style w:type="paragraph" w:customStyle="1" w:styleId="33">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样式1 Char"/>
    <w:link w:val="35"/>
    <w:autoRedefine/>
    <w:qFormat/>
    <w:uiPriority w:val="0"/>
    <w:rPr>
      <w:rFonts w:ascii="宋体" w:hAnsi="宋体"/>
      <w:sz w:val="21"/>
    </w:rPr>
  </w:style>
  <w:style w:type="paragraph" w:customStyle="1" w:styleId="35">
    <w:name w:val="样式1"/>
    <w:basedOn w:val="1"/>
    <w:link w:val="34"/>
    <w:autoRedefine/>
    <w:qFormat/>
    <w:uiPriority w:val="0"/>
    <w:pPr>
      <w:tabs>
        <w:tab w:val="left" w:pos="709"/>
      </w:tabs>
      <w:autoSpaceDE/>
      <w:autoSpaceDN/>
      <w:adjustRightInd w:val="0"/>
      <w:jc w:val="both"/>
      <w:textAlignment w:val="baseline"/>
    </w:pPr>
    <w:rPr>
      <w:rFonts w:cs="Times New Roman"/>
      <w:sz w:val="21"/>
      <w:szCs w:val="20"/>
      <w:lang w:eastAsia="zh-CN"/>
    </w:rPr>
  </w:style>
  <w:style w:type="paragraph" w:customStyle="1" w:styleId="36">
    <w:name w:val="正文段落"/>
    <w:basedOn w:val="1"/>
    <w:autoRedefine/>
    <w:qFormat/>
    <w:uiPriority w:val="0"/>
    <w:pPr>
      <w:widowControl/>
      <w:suppressAutoHyphens/>
      <w:autoSpaceDE/>
      <w:autoSpaceDN/>
      <w:spacing w:line="360" w:lineRule="exact"/>
      <w:ind w:firstLine="200"/>
      <w:textAlignment w:val="baseline"/>
    </w:pPr>
    <w:rPr>
      <w:sz w:val="24"/>
      <w:szCs w:val="24"/>
      <w:lang w:eastAsia="zh-CN"/>
    </w:rPr>
  </w:style>
  <w:style w:type="character" w:customStyle="1" w:styleId="37">
    <w:name w:val="普通(网站) 字符"/>
    <w:basedOn w:val="13"/>
    <w:link w:val="10"/>
    <w:autoRedefine/>
    <w:qFormat/>
    <w:locked/>
    <w:uiPriority w:val="99"/>
    <w:rPr>
      <w:rFonts w:ascii="宋体" w:hAnsi="宋体" w:cs="宋体"/>
      <w:sz w:val="24"/>
      <w:szCs w:val="24"/>
    </w:rPr>
  </w:style>
  <w:style w:type="character" w:customStyle="1" w:styleId="38">
    <w:name w:val="NormalCharacter"/>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福化环保</Company>
  <Pages>21</Pages>
  <Words>11160</Words>
  <Characters>11660</Characters>
  <Lines>92</Lines>
  <Paragraphs>26</Paragraphs>
  <TotalTime>8</TotalTime>
  <ScaleCrop>false</ScaleCrop>
  <LinksUpToDate>false</LinksUpToDate>
  <CharactersWithSpaces>12549</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2024-07-10T03:46:00Z</dcterms:created>
  <dc:creator>CGC</dc:creator>
  <cp:lastModifiedBy>杰</cp:lastModifiedBy>
  <dcterms:modified xsi:type="dcterms:W3CDTF">2024-07-11T01:48:30Z</dcterms:modified>
  <dc:title>公开招标文件（货物服务类）</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2052-12.1.0.17145</vt:lpwstr>
  </property>
  <property fmtid="{D5CDD505-2E9C-101B-9397-08002B2CF9AE}" pid="6" name="ICV">
    <vt:lpwstr>DE4B5161574E48FBA21EBC4BFC6B1DF7_13</vt:lpwstr>
  </property>
</Properties>
</file>